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D88C3" w14:textId="54059763" w:rsidR="004B6007" w:rsidRDefault="004B6007" w:rsidP="004B6007">
      <w:pPr>
        <w:spacing w:after="480"/>
      </w:pPr>
      <w:r>
        <w:rPr>
          <w:noProof/>
        </w:rPr>
        <w:drawing>
          <wp:inline distT="0" distB="0" distL="0" distR="0" wp14:anchorId="79DDFA83" wp14:editId="53E059CB">
            <wp:extent cx="2009775" cy="495935"/>
            <wp:effectExtent l="0" t="0" r="9525" b="0"/>
            <wp:docPr id="1" name="Picture 1"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9"/>
        <w:gridCol w:w="4910"/>
      </w:tblGrid>
      <w:tr w:rsidR="004B6007" w14:paraId="410A6713" w14:textId="77777777" w:rsidTr="007A32AF">
        <w:trPr>
          <w:tblHeader/>
        </w:trPr>
        <w:tc>
          <w:tcPr>
            <w:tcW w:w="3456" w:type="dxa"/>
            <w:tcBorders>
              <w:bottom w:val="single" w:sz="18" w:space="0" w:color="auto"/>
            </w:tcBorders>
          </w:tcPr>
          <w:p w14:paraId="7CF46A91" w14:textId="77777777" w:rsidR="004B6007" w:rsidRPr="00B805DB" w:rsidRDefault="004B6007" w:rsidP="007A32AF">
            <w:pPr>
              <w:pStyle w:val="Heading1"/>
              <w:spacing w:after="240"/>
              <w:outlineLvl w:val="0"/>
            </w:pPr>
            <w:r>
              <w:t>Report f</w:t>
            </w:r>
            <w:r w:rsidRPr="00C869F3">
              <w:t>or:</w:t>
            </w:r>
          </w:p>
        </w:tc>
        <w:tc>
          <w:tcPr>
            <w:tcW w:w="5054" w:type="dxa"/>
            <w:tcBorders>
              <w:bottom w:val="single" w:sz="18" w:space="0" w:color="auto"/>
            </w:tcBorders>
          </w:tcPr>
          <w:p w14:paraId="47A932B0" w14:textId="77777777" w:rsidR="004B6007" w:rsidRPr="005E3A10" w:rsidRDefault="004B6007" w:rsidP="007A32AF">
            <w:pPr>
              <w:pStyle w:val="Heading1"/>
              <w:outlineLvl w:val="0"/>
              <w:rPr>
                <w:szCs w:val="24"/>
              </w:rPr>
            </w:pPr>
            <w:r w:rsidRPr="005E3A10">
              <w:t>Cabinet</w:t>
            </w:r>
          </w:p>
        </w:tc>
      </w:tr>
      <w:tr w:rsidR="004B6007" w14:paraId="5B776F68" w14:textId="77777777" w:rsidTr="007A32AF">
        <w:tc>
          <w:tcPr>
            <w:tcW w:w="3456" w:type="dxa"/>
            <w:tcBorders>
              <w:top w:val="single" w:sz="18" w:space="0" w:color="auto"/>
            </w:tcBorders>
          </w:tcPr>
          <w:p w14:paraId="47211546" w14:textId="77777777" w:rsidR="004B6007" w:rsidRPr="00C13A5F" w:rsidRDefault="004B6007" w:rsidP="007A32AF">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5B3A024F" w14:textId="139B8CEE" w:rsidR="004B6007" w:rsidRPr="005E3A10" w:rsidRDefault="004B6007" w:rsidP="007A32AF">
            <w:pPr>
              <w:rPr>
                <w:rFonts w:cs="Arial"/>
                <w:szCs w:val="24"/>
              </w:rPr>
            </w:pPr>
            <w:r>
              <w:rPr>
                <w:rFonts w:cs="Arial"/>
                <w:szCs w:val="24"/>
              </w:rPr>
              <w:t>9</w:t>
            </w:r>
            <w:r w:rsidRPr="004B6007">
              <w:rPr>
                <w:rFonts w:cs="Arial"/>
                <w:szCs w:val="24"/>
                <w:vertAlign w:val="superscript"/>
              </w:rPr>
              <w:t>th</w:t>
            </w:r>
            <w:r>
              <w:rPr>
                <w:rFonts w:cs="Arial"/>
                <w:szCs w:val="24"/>
              </w:rPr>
              <w:t xml:space="preserve"> D</w:t>
            </w:r>
            <w:r w:rsidR="00B679E6">
              <w:rPr>
                <w:rFonts w:cs="Arial"/>
                <w:szCs w:val="24"/>
              </w:rPr>
              <w:t>e</w:t>
            </w:r>
            <w:r>
              <w:rPr>
                <w:rFonts w:cs="Arial"/>
                <w:szCs w:val="24"/>
              </w:rPr>
              <w:t>cember 2021</w:t>
            </w:r>
          </w:p>
        </w:tc>
      </w:tr>
      <w:tr w:rsidR="004B6007" w14:paraId="08DC7D7B" w14:textId="77777777" w:rsidTr="007A32AF">
        <w:tc>
          <w:tcPr>
            <w:tcW w:w="3456" w:type="dxa"/>
          </w:tcPr>
          <w:p w14:paraId="0FF9D967" w14:textId="77777777" w:rsidR="004B6007" w:rsidRPr="00C13A5F" w:rsidRDefault="004B6007" w:rsidP="007A32AF">
            <w:pPr>
              <w:pStyle w:val="Infotext"/>
              <w:spacing w:after="240"/>
              <w:rPr>
                <w:rFonts w:ascii="Arial Black" w:hAnsi="Arial Black"/>
              </w:rPr>
            </w:pPr>
            <w:r w:rsidRPr="00C13A5F">
              <w:rPr>
                <w:rFonts w:ascii="Arial Black" w:hAnsi="Arial Black" w:cs="Arial"/>
              </w:rPr>
              <w:t>Subject:</w:t>
            </w:r>
          </w:p>
        </w:tc>
        <w:tc>
          <w:tcPr>
            <w:tcW w:w="5054" w:type="dxa"/>
          </w:tcPr>
          <w:p w14:paraId="339EEFE0" w14:textId="77777777" w:rsidR="004B6007" w:rsidRDefault="004B6007" w:rsidP="007A32AF">
            <w:pPr>
              <w:rPr>
                <w:rFonts w:cs="Arial"/>
                <w:szCs w:val="24"/>
              </w:rPr>
            </w:pPr>
            <w:bookmarkStart w:id="0" w:name="_GoBack"/>
            <w:r>
              <w:rPr>
                <w:rFonts w:cs="Arial"/>
                <w:szCs w:val="24"/>
              </w:rPr>
              <w:t>Estimated Surplus / (Deficit) on the Collection Fund 2021-22</w:t>
            </w:r>
          </w:p>
          <w:bookmarkEnd w:id="0"/>
          <w:p w14:paraId="7F15F81D" w14:textId="6B01802B" w:rsidR="004B6007" w:rsidRPr="005E3A10" w:rsidRDefault="004B6007" w:rsidP="007A32AF">
            <w:pPr>
              <w:rPr>
                <w:rFonts w:cs="Arial"/>
                <w:szCs w:val="24"/>
              </w:rPr>
            </w:pPr>
          </w:p>
        </w:tc>
      </w:tr>
      <w:tr w:rsidR="004B6007" w14:paraId="11CD54FF" w14:textId="77777777" w:rsidTr="007A32AF">
        <w:tc>
          <w:tcPr>
            <w:tcW w:w="3456" w:type="dxa"/>
          </w:tcPr>
          <w:p w14:paraId="0DC67E6D" w14:textId="77777777" w:rsidR="004B6007" w:rsidRPr="00C13A5F" w:rsidRDefault="004B6007" w:rsidP="007A32AF">
            <w:pPr>
              <w:pStyle w:val="Infotext"/>
              <w:spacing w:after="240"/>
              <w:rPr>
                <w:rFonts w:ascii="Arial Black" w:hAnsi="Arial Black" w:cs="Arial"/>
              </w:rPr>
            </w:pPr>
            <w:r w:rsidRPr="00C13A5F">
              <w:rPr>
                <w:rFonts w:ascii="Arial Black" w:hAnsi="Arial Black" w:cs="Arial"/>
              </w:rPr>
              <w:t>Key Decision:</w:t>
            </w:r>
          </w:p>
        </w:tc>
        <w:tc>
          <w:tcPr>
            <w:tcW w:w="5054" w:type="dxa"/>
          </w:tcPr>
          <w:p w14:paraId="575277DE" w14:textId="63E543D7" w:rsidR="004B6007" w:rsidRPr="005E3A10" w:rsidRDefault="004B6007" w:rsidP="004B6007">
            <w:pPr>
              <w:pStyle w:val="Infotext"/>
              <w:rPr>
                <w:rFonts w:cs="Arial"/>
                <w:szCs w:val="24"/>
              </w:rPr>
            </w:pPr>
            <w:r w:rsidRPr="005E3A10">
              <w:rPr>
                <w:rFonts w:cs="Arial"/>
                <w:sz w:val="24"/>
                <w:szCs w:val="24"/>
              </w:rPr>
              <w:t xml:space="preserve">Yes </w:t>
            </w:r>
          </w:p>
        </w:tc>
      </w:tr>
      <w:tr w:rsidR="004B6007" w14:paraId="60692E9B" w14:textId="77777777" w:rsidTr="007A32AF">
        <w:tc>
          <w:tcPr>
            <w:tcW w:w="3456" w:type="dxa"/>
          </w:tcPr>
          <w:p w14:paraId="0D4269D8" w14:textId="77777777" w:rsidR="004B6007" w:rsidRPr="00C13A5F" w:rsidRDefault="004B6007" w:rsidP="007A32AF">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753DD6DF" w14:textId="329A30D1" w:rsidR="004B6007" w:rsidRPr="005E3A10" w:rsidRDefault="004B6007" w:rsidP="004B6007">
            <w:pPr>
              <w:rPr>
                <w:rFonts w:cs="Arial"/>
                <w:szCs w:val="24"/>
              </w:rPr>
            </w:pPr>
            <w:r>
              <w:rPr>
                <w:bCs/>
                <w:szCs w:val="24"/>
              </w:rPr>
              <w:t xml:space="preserve">Dawn Calvert - </w:t>
            </w:r>
            <w:r w:rsidRPr="00A961E8">
              <w:rPr>
                <w:bCs/>
                <w:szCs w:val="24"/>
              </w:rPr>
              <w:t>Director of Finance</w:t>
            </w:r>
            <w:r>
              <w:rPr>
                <w:bCs/>
                <w:szCs w:val="24"/>
              </w:rPr>
              <w:t xml:space="preserve"> </w:t>
            </w:r>
          </w:p>
        </w:tc>
      </w:tr>
      <w:tr w:rsidR="004B6007" w14:paraId="70ACF85F" w14:textId="77777777" w:rsidTr="007A32AF">
        <w:tc>
          <w:tcPr>
            <w:tcW w:w="3456" w:type="dxa"/>
          </w:tcPr>
          <w:p w14:paraId="3E2DEB6B" w14:textId="77777777" w:rsidR="004B6007" w:rsidRPr="00C13A5F" w:rsidRDefault="004B6007" w:rsidP="007A32AF">
            <w:pPr>
              <w:pStyle w:val="Infotext"/>
              <w:spacing w:after="240"/>
              <w:rPr>
                <w:rFonts w:ascii="Arial Black" w:hAnsi="Arial Black"/>
              </w:rPr>
            </w:pPr>
            <w:r w:rsidRPr="00DB6C3D">
              <w:rPr>
                <w:rFonts w:ascii="Arial Black" w:hAnsi="Arial Black"/>
              </w:rPr>
              <w:t>Portfolio Holder:</w:t>
            </w:r>
          </w:p>
        </w:tc>
        <w:tc>
          <w:tcPr>
            <w:tcW w:w="5054" w:type="dxa"/>
          </w:tcPr>
          <w:p w14:paraId="21572C0D" w14:textId="77777777" w:rsidR="004B6007" w:rsidRPr="00DC7FD5" w:rsidRDefault="004B6007" w:rsidP="004B6007">
            <w:pPr>
              <w:pStyle w:val="Infotext"/>
              <w:rPr>
                <w:rFonts w:cs="Arial"/>
                <w:sz w:val="24"/>
                <w:szCs w:val="24"/>
              </w:rPr>
            </w:pPr>
            <w:r>
              <w:rPr>
                <w:sz w:val="24"/>
                <w:szCs w:val="24"/>
              </w:rPr>
              <w:t xml:space="preserve">Councillor Natasha Proctor – Portfolio Holder for </w:t>
            </w:r>
            <w:r w:rsidRPr="00DC7FD5">
              <w:rPr>
                <w:sz w:val="24"/>
                <w:szCs w:val="24"/>
              </w:rPr>
              <w:t>Finance</w:t>
            </w:r>
            <w:r>
              <w:rPr>
                <w:sz w:val="24"/>
                <w:szCs w:val="24"/>
              </w:rPr>
              <w:t xml:space="preserve"> and Resources</w:t>
            </w:r>
          </w:p>
          <w:p w14:paraId="487FFA2A" w14:textId="081178E2" w:rsidR="004B6007" w:rsidRPr="005E3A10" w:rsidRDefault="004B6007" w:rsidP="007A32AF">
            <w:pPr>
              <w:pStyle w:val="Infotext"/>
              <w:rPr>
                <w:rFonts w:cs="Arial"/>
                <w:color w:val="FF0000"/>
                <w:sz w:val="24"/>
                <w:szCs w:val="24"/>
              </w:rPr>
            </w:pPr>
          </w:p>
        </w:tc>
      </w:tr>
      <w:tr w:rsidR="004B6007" w14:paraId="0DC00734" w14:textId="77777777" w:rsidTr="007A32AF">
        <w:tc>
          <w:tcPr>
            <w:tcW w:w="3456" w:type="dxa"/>
          </w:tcPr>
          <w:p w14:paraId="36C1408F" w14:textId="77777777" w:rsidR="004B6007" w:rsidRPr="00C13A5F" w:rsidRDefault="004B6007" w:rsidP="007A32AF">
            <w:pPr>
              <w:pStyle w:val="Infotext"/>
              <w:spacing w:after="240"/>
              <w:rPr>
                <w:rFonts w:ascii="Arial Black" w:hAnsi="Arial Black"/>
              </w:rPr>
            </w:pPr>
            <w:r w:rsidRPr="00DB6C3D">
              <w:rPr>
                <w:rFonts w:ascii="Arial Black" w:hAnsi="Arial Black"/>
              </w:rPr>
              <w:t>Exempt:</w:t>
            </w:r>
          </w:p>
        </w:tc>
        <w:tc>
          <w:tcPr>
            <w:tcW w:w="5054" w:type="dxa"/>
          </w:tcPr>
          <w:p w14:paraId="2ED68518" w14:textId="2841C02C" w:rsidR="004B6007" w:rsidRPr="005E3A10" w:rsidRDefault="004B6007" w:rsidP="007A32AF">
            <w:pPr>
              <w:pStyle w:val="Infotext"/>
              <w:rPr>
                <w:rFonts w:cs="Arial"/>
                <w:sz w:val="24"/>
                <w:szCs w:val="24"/>
              </w:rPr>
            </w:pPr>
            <w:r w:rsidRPr="005E3A10">
              <w:rPr>
                <w:rFonts w:cs="Arial"/>
                <w:sz w:val="24"/>
                <w:szCs w:val="24"/>
              </w:rPr>
              <w:t>No</w:t>
            </w:r>
          </w:p>
          <w:p w14:paraId="47366B52" w14:textId="77777777" w:rsidR="004B6007" w:rsidRPr="005E3A10" w:rsidRDefault="004B6007" w:rsidP="004B6007">
            <w:pPr>
              <w:pStyle w:val="Infotext"/>
              <w:rPr>
                <w:rFonts w:cs="Arial"/>
                <w:color w:val="FF0000"/>
                <w:sz w:val="24"/>
                <w:szCs w:val="24"/>
              </w:rPr>
            </w:pPr>
          </w:p>
        </w:tc>
      </w:tr>
      <w:tr w:rsidR="004B6007" w14:paraId="04D8915A" w14:textId="77777777" w:rsidTr="007A32AF">
        <w:tc>
          <w:tcPr>
            <w:tcW w:w="3456" w:type="dxa"/>
          </w:tcPr>
          <w:p w14:paraId="1AE10446" w14:textId="77777777" w:rsidR="004B6007" w:rsidRPr="00C13A5F" w:rsidRDefault="004B6007" w:rsidP="007A32AF">
            <w:pPr>
              <w:pStyle w:val="Infotext"/>
              <w:spacing w:after="240"/>
              <w:rPr>
                <w:rFonts w:ascii="Arial Black" w:hAnsi="Arial Black"/>
              </w:rPr>
            </w:pPr>
            <w:r w:rsidRPr="00DB6C3D">
              <w:rPr>
                <w:rFonts w:ascii="Arial Black" w:hAnsi="Arial Black"/>
              </w:rPr>
              <w:t>Decision subject to Call-in:</w:t>
            </w:r>
          </w:p>
        </w:tc>
        <w:tc>
          <w:tcPr>
            <w:tcW w:w="5054" w:type="dxa"/>
          </w:tcPr>
          <w:p w14:paraId="6C188CA5" w14:textId="372F022F" w:rsidR="004B6007" w:rsidRPr="005E3A10" w:rsidRDefault="004B6007" w:rsidP="004B6007">
            <w:pPr>
              <w:pStyle w:val="Infotext"/>
              <w:rPr>
                <w:rFonts w:cs="Arial"/>
                <w:szCs w:val="24"/>
              </w:rPr>
            </w:pPr>
            <w:r w:rsidRPr="005E3A10">
              <w:rPr>
                <w:rFonts w:cs="Arial"/>
                <w:sz w:val="24"/>
                <w:szCs w:val="24"/>
              </w:rPr>
              <w:t xml:space="preserve">Yes </w:t>
            </w:r>
          </w:p>
        </w:tc>
      </w:tr>
      <w:tr w:rsidR="004B6007" w14:paraId="63C6557E" w14:textId="77777777" w:rsidTr="007A32AF">
        <w:tc>
          <w:tcPr>
            <w:tcW w:w="3456" w:type="dxa"/>
          </w:tcPr>
          <w:p w14:paraId="034CE378" w14:textId="77777777" w:rsidR="004B6007" w:rsidRPr="00C13A5F" w:rsidRDefault="004B6007" w:rsidP="007A32AF">
            <w:pPr>
              <w:pStyle w:val="Infotext"/>
              <w:spacing w:after="240"/>
              <w:rPr>
                <w:rFonts w:ascii="Arial Black" w:hAnsi="Arial Black" w:cs="Arial"/>
              </w:rPr>
            </w:pPr>
            <w:r>
              <w:rPr>
                <w:rFonts w:ascii="Arial Black" w:hAnsi="Arial Black" w:cs="Arial"/>
              </w:rPr>
              <w:t>Wards affected:</w:t>
            </w:r>
          </w:p>
        </w:tc>
        <w:tc>
          <w:tcPr>
            <w:tcW w:w="5054" w:type="dxa"/>
          </w:tcPr>
          <w:p w14:paraId="3B666F3D" w14:textId="0A75208A" w:rsidR="004B6007" w:rsidRPr="00307F76" w:rsidRDefault="004B6007" w:rsidP="007A32AF">
            <w:pPr>
              <w:rPr>
                <w:rFonts w:cs="Arial"/>
                <w:b/>
                <w:color w:val="FF0000"/>
                <w:szCs w:val="24"/>
              </w:rPr>
            </w:pPr>
            <w:r>
              <w:rPr>
                <w:rFonts w:cs="Arial"/>
                <w:szCs w:val="24"/>
              </w:rPr>
              <w:t>All</w:t>
            </w:r>
          </w:p>
        </w:tc>
      </w:tr>
      <w:tr w:rsidR="004B6007" w14:paraId="0D85E9D7" w14:textId="77777777" w:rsidTr="007A32AF">
        <w:tc>
          <w:tcPr>
            <w:tcW w:w="3456" w:type="dxa"/>
          </w:tcPr>
          <w:p w14:paraId="4ACAB6E9" w14:textId="77777777" w:rsidR="004B6007" w:rsidRPr="00C13A5F" w:rsidRDefault="004B6007" w:rsidP="007A32AF">
            <w:pPr>
              <w:pStyle w:val="Infotext"/>
              <w:spacing w:after="240"/>
              <w:rPr>
                <w:rFonts w:ascii="Arial Black" w:hAnsi="Arial Black" w:cs="Arial"/>
              </w:rPr>
            </w:pPr>
            <w:r w:rsidRPr="00C13A5F">
              <w:rPr>
                <w:rFonts w:ascii="Arial Black" w:hAnsi="Arial Black" w:cs="Arial"/>
              </w:rPr>
              <w:t>Enclosures:</w:t>
            </w:r>
          </w:p>
        </w:tc>
        <w:tc>
          <w:tcPr>
            <w:tcW w:w="5054" w:type="dxa"/>
          </w:tcPr>
          <w:p w14:paraId="41379CC4" w14:textId="07563B72" w:rsidR="004B6007" w:rsidRPr="005E3A10" w:rsidRDefault="004B6007" w:rsidP="007A32AF">
            <w:pPr>
              <w:pStyle w:val="Infotext"/>
              <w:rPr>
                <w:color w:val="FF0000"/>
                <w:sz w:val="24"/>
                <w:szCs w:val="24"/>
              </w:rPr>
            </w:pPr>
            <w:r>
              <w:rPr>
                <w:rFonts w:cs="Arial"/>
                <w:sz w:val="24"/>
                <w:szCs w:val="24"/>
              </w:rPr>
              <w:t>None</w:t>
            </w:r>
          </w:p>
        </w:tc>
      </w:tr>
    </w:tbl>
    <w:p w14:paraId="25D524A8" w14:textId="6568A064" w:rsidR="004B6007" w:rsidRDefault="004B6007"/>
    <w:p w14:paraId="00E46FA5" w14:textId="77777777" w:rsidR="004B6007" w:rsidRDefault="004B6007"/>
    <w:tbl>
      <w:tblPr>
        <w:tblW w:w="0" w:type="auto"/>
        <w:tblLook w:val="0000" w:firstRow="0" w:lastRow="0" w:firstColumn="0" w:lastColumn="0" w:noHBand="0" w:noVBand="0"/>
      </w:tblPr>
      <w:tblGrid>
        <w:gridCol w:w="3388"/>
        <w:gridCol w:w="4906"/>
      </w:tblGrid>
      <w:tr w:rsidR="00333FAA" w14:paraId="4FDA21A1" w14:textId="77777777" w:rsidTr="004B6007">
        <w:tc>
          <w:tcPr>
            <w:tcW w:w="3388" w:type="dxa"/>
          </w:tcPr>
          <w:p w14:paraId="737C3AD5" w14:textId="77777777" w:rsidR="00333FAA" w:rsidRPr="00C13A5F" w:rsidRDefault="00333FAA" w:rsidP="00A53B04">
            <w:pPr>
              <w:pStyle w:val="Infotext"/>
              <w:rPr>
                <w:rFonts w:ascii="Arial Black" w:hAnsi="Arial Black" w:cs="Arial"/>
              </w:rPr>
            </w:pPr>
          </w:p>
        </w:tc>
        <w:tc>
          <w:tcPr>
            <w:tcW w:w="4906" w:type="dxa"/>
          </w:tcPr>
          <w:p w14:paraId="7FEA054C" w14:textId="54835A03" w:rsidR="00333FAA" w:rsidRPr="005E3A10" w:rsidRDefault="00333FAA" w:rsidP="00DC7FD5">
            <w:pPr>
              <w:pStyle w:val="Infotext"/>
              <w:rPr>
                <w:rFonts w:cs="Arial"/>
                <w:szCs w:val="24"/>
              </w:rPr>
            </w:pPr>
          </w:p>
        </w:tc>
      </w:tr>
    </w:tbl>
    <w:p w14:paraId="025C06FA" w14:textId="77777777" w:rsidR="004076C8" w:rsidRDefault="004076C8"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333FAA" w14:paraId="1ABC46BE" w14:textId="77777777">
        <w:tc>
          <w:tcPr>
            <w:tcW w:w="8525" w:type="dxa"/>
            <w:tcBorders>
              <w:top w:val="nil"/>
              <w:left w:val="nil"/>
              <w:right w:val="nil"/>
            </w:tcBorders>
          </w:tcPr>
          <w:p w14:paraId="1F845B98" w14:textId="77777777" w:rsidR="00333FAA" w:rsidRDefault="00333FAA" w:rsidP="00A53B04">
            <w:pPr>
              <w:pStyle w:val="Heading1"/>
            </w:pPr>
            <w:r>
              <w:t>Section 1 – Summary and Recommendations</w:t>
            </w:r>
          </w:p>
          <w:p w14:paraId="33BAA798" w14:textId="77777777" w:rsidR="00333FAA" w:rsidRDefault="00333FAA" w:rsidP="00A53B04"/>
        </w:tc>
      </w:tr>
      <w:tr w:rsidR="00333FAA" w14:paraId="513022D9" w14:textId="77777777">
        <w:tc>
          <w:tcPr>
            <w:tcW w:w="8525" w:type="dxa"/>
          </w:tcPr>
          <w:p w14:paraId="43F2964E" w14:textId="1B7E08E1" w:rsidR="00DC7FD5" w:rsidRPr="00B602E0" w:rsidRDefault="00DC7FD5" w:rsidP="00DC7FD5">
            <w:pPr>
              <w:autoSpaceDE w:val="0"/>
              <w:autoSpaceDN w:val="0"/>
              <w:adjustRightInd w:val="0"/>
              <w:rPr>
                <w:rFonts w:cs="Arial"/>
                <w:color w:val="000000"/>
                <w:szCs w:val="24"/>
                <w:lang w:eastAsia="en-GB"/>
              </w:rPr>
            </w:pPr>
            <w:r w:rsidRPr="00B602E0">
              <w:rPr>
                <w:rFonts w:cs="Arial"/>
                <w:color w:val="000000"/>
                <w:szCs w:val="24"/>
                <w:lang w:eastAsia="en-GB"/>
              </w:rPr>
              <w:t>This report sets out the estimated financial position on the Collection Fund as at 31</w:t>
            </w:r>
            <w:r w:rsidRPr="00B602E0">
              <w:rPr>
                <w:rFonts w:cs="Arial"/>
                <w:color w:val="000000"/>
                <w:szCs w:val="24"/>
                <w:vertAlign w:val="superscript"/>
                <w:lang w:eastAsia="en-GB"/>
              </w:rPr>
              <w:t>st</w:t>
            </w:r>
            <w:r w:rsidRPr="00B602E0">
              <w:rPr>
                <w:rFonts w:cs="Arial"/>
                <w:color w:val="000000"/>
                <w:szCs w:val="24"/>
                <w:lang w:eastAsia="en-GB"/>
              </w:rPr>
              <w:t xml:space="preserve"> March 20</w:t>
            </w:r>
            <w:r>
              <w:rPr>
                <w:rFonts w:cs="Arial"/>
                <w:color w:val="000000"/>
                <w:szCs w:val="24"/>
                <w:lang w:eastAsia="en-GB"/>
              </w:rPr>
              <w:t>2</w:t>
            </w:r>
            <w:r w:rsidR="00BC36EE">
              <w:rPr>
                <w:rFonts w:cs="Arial"/>
                <w:color w:val="000000"/>
                <w:szCs w:val="24"/>
                <w:lang w:eastAsia="en-GB"/>
              </w:rPr>
              <w:t>2</w:t>
            </w:r>
            <w:r w:rsidRPr="00B602E0">
              <w:rPr>
                <w:rFonts w:cs="Arial"/>
                <w:color w:val="000000"/>
                <w:szCs w:val="24"/>
                <w:lang w:eastAsia="en-GB"/>
              </w:rPr>
              <w:t xml:space="preserve"> and how it is shared amongst the constituent precepting bodies and Central Government.</w:t>
            </w:r>
          </w:p>
          <w:p w14:paraId="4C7CF96A" w14:textId="77777777" w:rsidR="00DC7FD5" w:rsidRPr="00B602E0" w:rsidRDefault="00DC7FD5" w:rsidP="00DC7FD5">
            <w:pPr>
              <w:outlineLvl w:val="1"/>
              <w:rPr>
                <w:rFonts w:cs="Arial"/>
                <w:b/>
                <w:bCs/>
                <w:sz w:val="28"/>
                <w:szCs w:val="32"/>
              </w:rPr>
            </w:pPr>
          </w:p>
          <w:p w14:paraId="7179317E" w14:textId="77777777" w:rsidR="00DC7FD5" w:rsidRPr="00B602E0" w:rsidRDefault="00DC7FD5" w:rsidP="00DC7FD5">
            <w:pPr>
              <w:outlineLvl w:val="1"/>
              <w:rPr>
                <w:rFonts w:cs="Arial"/>
                <w:b/>
                <w:bCs/>
                <w:sz w:val="28"/>
                <w:szCs w:val="32"/>
              </w:rPr>
            </w:pPr>
            <w:r w:rsidRPr="00B602E0">
              <w:rPr>
                <w:rFonts w:cs="Arial"/>
                <w:b/>
                <w:bCs/>
                <w:sz w:val="28"/>
                <w:szCs w:val="32"/>
              </w:rPr>
              <w:t xml:space="preserve">Recommendations: </w:t>
            </w:r>
          </w:p>
          <w:p w14:paraId="516CB4BF" w14:textId="77777777" w:rsidR="00DC7FD5" w:rsidRPr="00B602E0" w:rsidRDefault="00DC7FD5" w:rsidP="00DC7FD5">
            <w:pPr>
              <w:tabs>
                <w:tab w:val="left" w:pos="8228"/>
              </w:tabs>
              <w:spacing w:after="120"/>
              <w:ind w:left="451" w:right="257"/>
            </w:pPr>
            <w:r w:rsidRPr="00B602E0">
              <w:t>Cabinet is asked to:</w:t>
            </w:r>
          </w:p>
          <w:p w14:paraId="525ED489" w14:textId="0CD34A79" w:rsidR="00DC7FD5" w:rsidRPr="00B602E0" w:rsidRDefault="00DC7FD5" w:rsidP="002D0E5E">
            <w:pPr>
              <w:numPr>
                <w:ilvl w:val="0"/>
                <w:numId w:val="1"/>
              </w:numPr>
              <w:tabs>
                <w:tab w:val="num" w:pos="1122"/>
                <w:tab w:val="left" w:pos="8228"/>
              </w:tabs>
              <w:ind w:left="1122" w:right="257" w:hanging="561"/>
              <w:jc w:val="both"/>
            </w:pPr>
            <w:r w:rsidRPr="00B602E0">
              <w:t xml:space="preserve">Note an overall net estimated </w:t>
            </w:r>
            <w:r w:rsidR="00422560">
              <w:t>deficit</w:t>
            </w:r>
            <w:r w:rsidRPr="00B602E0">
              <w:t xml:space="preserve"> of </w:t>
            </w:r>
            <w:r w:rsidR="004864C5">
              <w:t>£</w:t>
            </w:r>
            <w:r w:rsidR="007A126D">
              <w:t>21.069</w:t>
            </w:r>
            <w:r w:rsidR="004864C5">
              <w:t>m</w:t>
            </w:r>
            <w:r w:rsidRPr="00B602E0">
              <w:t xml:space="preserve"> on the Collection Fund as at 31</w:t>
            </w:r>
            <w:r w:rsidRPr="00B602E0">
              <w:rPr>
                <w:vertAlign w:val="superscript"/>
              </w:rPr>
              <w:t>st</w:t>
            </w:r>
            <w:r w:rsidRPr="00B602E0">
              <w:t xml:space="preserve"> March 20</w:t>
            </w:r>
            <w:r>
              <w:t>2</w:t>
            </w:r>
            <w:r w:rsidR="00BC36EE">
              <w:t>2</w:t>
            </w:r>
            <w:r w:rsidRPr="00B602E0">
              <w:t xml:space="preserve">.  </w:t>
            </w:r>
          </w:p>
          <w:p w14:paraId="1B0C5ABF" w14:textId="77777777" w:rsidR="00DC7FD5" w:rsidRPr="00B602E0" w:rsidRDefault="00DC7FD5" w:rsidP="00DC7FD5">
            <w:pPr>
              <w:tabs>
                <w:tab w:val="left" w:pos="8228"/>
              </w:tabs>
              <w:ind w:left="1122" w:right="257"/>
              <w:jc w:val="both"/>
            </w:pPr>
          </w:p>
          <w:p w14:paraId="44021619" w14:textId="3BB8A276" w:rsidR="00DC7FD5" w:rsidRPr="00B602E0" w:rsidRDefault="00DC7FD5" w:rsidP="00DC7FD5">
            <w:pPr>
              <w:tabs>
                <w:tab w:val="left" w:pos="8228"/>
              </w:tabs>
              <w:ind w:left="1122" w:right="257"/>
              <w:jc w:val="both"/>
            </w:pPr>
            <w:r w:rsidRPr="00B602E0">
              <w:t xml:space="preserve">This includes a </w:t>
            </w:r>
            <w:r w:rsidR="00E168C8">
              <w:t>deficit of £</w:t>
            </w:r>
            <w:r w:rsidR="007A126D">
              <w:t>421</w:t>
            </w:r>
            <w:r w:rsidR="00E168C8">
              <w:t xml:space="preserve">k </w:t>
            </w:r>
            <w:r w:rsidRPr="00B602E0">
              <w:t xml:space="preserve">on Council Tax (Harrow share </w:t>
            </w:r>
            <w:r w:rsidR="00CE0B52">
              <w:t>–</w:t>
            </w:r>
            <w:r w:rsidR="00E9784D">
              <w:t>£</w:t>
            </w:r>
            <w:r w:rsidR="004864C5">
              <w:t>3</w:t>
            </w:r>
            <w:r w:rsidR="007A126D">
              <w:t>43</w:t>
            </w:r>
            <w:r w:rsidR="00E9784D">
              <w:t>k</w:t>
            </w:r>
            <w:r w:rsidRPr="00B602E0">
              <w:t xml:space="preserve"> and </w:t>
            </w:r>
            <w:r>
              <w:t xml:space="preserve">a </w:t>
            </w:r>
            <w:r w:rsidR="00422560">
              <w:t>deficit</w:t>
            </w:r>
            <w:r>
              <w:t xml:space="preserve"> of </w:t>
            </w:r>
            <w:r w:rsidR="0002360F">
              <w:t>£</w:t>
            </w:r>
            <w:r w:rsidR="007A126D">
              <w:t>20.648</w:t>
            </w:r>
            <w:r w:rsidR="0002360F">
              <w:t xml:space="preserve">m </w:t>
            </w:r>
            <w:r w:rsidRPr="00B602E0">
              <w:t xml:space="preserve">on Business Rates (Harrow share </w:t>
            </w:r>
            <w:r w:rsidR="00CE0B52">
              <w:t>(</w:t>
            </w:r>
            <w:r w:rsidR="0002360F">
              <w:t>£</w:t>
            </w:r>
            <w:r w:rsidR="007A126D">
              <w:t>6.194</w:t>
            </w:r>
            <w:r w:rsidR="0002360F">
              <w:t>m</w:t>
            </w:r>
            <w:r w:rsidRPr="00B602E0">
              <w:t>).</w:t>
            </w:r>
          </w:p>
          <w:p w14:paraId="1F168637" w14:textId="77777777" w:rsidR="00DC7FD5" w:rsidRPr="00B602E0" w:rsidRDefault="00DC7FD5" w:rsidP="00DC7FD5">
            <w:pPr>
              <w:tabs>
                <w:tab w:val="left" w:pos="8228"/>
              </w:tabs>
              <w:ind w:left="1122" w:right="257"/>
              <w:jc w:val="both"/>
            </w:pPr>
          </w:p>
          <w:p w14:paraId="3E27AA3F" w14:textId="0C6B8832" w:rsidR="00DC7FD5" w:rsidRPr="00B602E0" w:rsidRDefault="00DC7FD5" w:rsidP="002D0E5E">
            <w:pPr>
              <w:numPr>
                <w:ilvl w:val="0"/>
                <w:numId w:val="1"/>
              </w:numPr>
              <w:tabs>
                <w:tab w:val="num" w:pos="1122"/>
                <w:tab w:val="left" w:pos="8228"/>
              </w:tabs>
              <w:ind w:left="1122" w:right="257" w:hanging="561"/>
              <w:jc w:val="both"/>
            </w:pPr>
            <w:r w:rsidRPr="00B602E0">
              <w:lastRenderedPageBreak/>
              <w:t xml:space="preserve">Agree Harrow’s share of </w:t>
            </w:r>
            <w:r w:rsidR="00CE0B52">
              <w:t>(</w:t>
            </w:r>
            <w:r w:rsidR="0002360F">
              <w:t>£</w:t>
            </w:r>
            <w:r w:rsidR="007A126D">
              <w:t>6.537</w:t>
            </w:r>
            <w:r w:rsidR="00FF68A6">
              <w:t xml:space="preserve">m) </w:t>
            </w:r>
            <w:r w:rsidRPr="00B602E0">
              <w:t>and this be transferred to the General Fund in 20</w:t>
            </w:r>
            <w:r>
              <w:t>2</w:t>
            </w:r>
            <w:r w:rsidR="006A6580">
              <w:t>2</w:t>
            </w:r>
            <w:r w:rsidRPr="00B602E0">
              <w:t>-</w:t>
            </w:r>
            <w:r>
              <w:t>2</w:t>
            </w:r>
            <w:r w:rsidR="006A6580">
              <w:t>3</w:t>
            </w:r>
            <w:r w:rsidRPr="00B602E0">
              <w:t>.</w:t>
            </w:r>
          </w:p>
          <w:p w14:paraId="12BB0A8E" w14:textId="77777777" w:rsidR="00DC7FD5" w:rsidRPr="00B602E0" w:rsidRDefault="00DC7FD5" w:rsidP="00DC7FD5"/>
          <w:p w14:paraId="2C90B0FE" w14:textId="653D8C3B" w:rsidR="00DC7FD5" w:rsidRPr="00B602E0" w:rsidRDefault="00DC7FD5" w:rsidP="00DC7FD5">
            <w:pPr>
              <w:outlineLvl w:val="1"/>
              <w:rPr>
                <w:rFonts w:cs="Arial"/>
                <w:b/>
                <w:bCs/>
                <w:color w:val="FF0000"/>
                <w:sz w:val="28"/>
                <w:szCs w:val="32"/>
              </w:rPr>
            </w:pPr>
            <w:r w:rsidRPr="00B602E0">
              <w:rPr>
                <w:rFonts w:cs="Arial"/>
                <w:b/>
                <w:bCs/>
                <w:sz w:val="28"/>
                <w:szCs w:val="32"/>
              </w:rPr>
              <w:t>Reason</w:t>
            </w:r>
            <w:r w:rsidR="004B6007" w:rsidRPr="00B602E0">
              <w:rPr>
                <w:rFonts w:cs="Arial"/>
                <w:b/>
                <w:bCs/>
                <w:sz w:val="28"/>
                <w:szCs w:val="32"/>
              </w:rPr>
              <w:t>: (</w:t>
            </w:r>
            <w:r w:rsidRPr="00B602E0">
              <w:rPr>
                <w:rFonts w:cs="Arial"/>
                <w:b/>
                <w:bCs/>
                <w:sz w:val="28"/>
                <w:szCs w:val="32"/>
              </w:rPr>
              <w:t>For recommendations)</w:t>
            </w:r>
            <w:r w:rsidRPr="00B602E0">
              <w:rPr>
                <w:rFonts w:cs="Arial"/>
                <w:b/>
                <w:bCs/>
                <w:color w:val="FF0000"/>
                <w:sz w:val="28"/>
                <w:szCs w:val="32"/>
              </w:rPr>
              <w:t xml:space="preserve"> </w:t>
            </w:r>
          </w:p>
          <w:p w14:paraId="45E2DE15" w14:textId="77777777" w:rsidR="00DC7FD5" w:rsidRPr="00B602E0" w:rsidRDefault="00DC7FD5" w:rsidP="00DC7FD5">
            <w:r w:rsidRPr="00B602E0">
              <w:t>To report to Cabinet on the Council’s statutory obligation to estimate the surplus or (deficit) on the Collection Fund for the year end.  Approval to the recommendations set out is a major part of the annual budget review process.</w:t>
            </w:r>
          </w:p>
          <w:p w14:paraId="2B6EB55B" w14:textId="77777777" w:rsidR="00333FAA" w:rsidRDefault="00333FAA" w:rsidP="00A53B04">
            <w:pPr>
              <w:jc w:val="both"/>
              <w:rPr>
                <w:rFonts w:cs="Arial"/>
              </w:rPr>
            </w:pPr>
          </w:p>
        </w:tc>
      </w:tr>
    </w:tbl>
    <w:p w14:paraId="3EB5C0EA" w14:textId="77777777" w:rsidR="00333FAA" w:rsidRDefault="00333FAA" w:rsidP="00333FAA">
      <w:pPr>
        <w:pStyle w:val="Heading1"/>
        <w:rPr>
          <w:rFonts w:ascii="Arial" w:hAnsi="Arial"/>
          <w:sz w:val="24"/>
          <w:szCs w:val="24"/>
        </w:rPr>
      </w:pPr>
    </w:p>
    <w:p w14:paraId="39D6BBD9" w14:textId="77777777" w:rsidR="00B75134" w:rsidRDefault="00B75134" w:rsidP="00333FAA">
      <w:pPr>
        <w:pStyle w:val="Heading1"/>
      </w:pPr>
    </w:p>
    <w:p w14:paraId="426F07E5" w14:textId="021D51C6" w:rsidR="00333FAA" w:rsidRDefault="00333FAA" w:rsidP="00333FAA">
      <w:pPr>
        <w:pStyle w:val="Heading1"/>
      </w:pPr>
      <w:r>
        <w:t>Section 2 – Report</w:t>
      </w:r>
    </w:p>
    <w:p w14:paraId="388EAD44" w14:textId="77777777" w:rsidR="002A3FEF" w:rsidRDefault="002A3FEF" w:rsidP="001C7E35"/>
    <w:p w14:paraId="5499D1B5" w14:textId="77777777" w:rsidR="00DC7FD5" w:rsidRPr="00B602E0" w:rsidRDefault="00DC7FD5" w:rsidP="00DC7FD5">
      <w:pPr>
        <w:outlineLvl w:val="1"/>
        <w:rPr>
          <w:rFonts w:cs="Arial"/>
          <w:b/>
          <w:bCs/>
          <w:sz w:val="28"/>
          <w:szCs w:val="32"/>
        </w:rPr>
      </w:pPr>
      <w:r w:rsidRPr="00B602E0">
        <w:rPr>
          <w:rFonts w:cs="Arial"/>
          <w:b/>
          <w:bCs/>
          <w:sz w:val="28"/>
          <w:szCs w:val="32"/>
        </w:rPr>
        <w:t>Introductory paragraph</w:t>
      </w:r>
    </w:p>
    <w:p w14:paraId="2C0EFBF3" w14:textId="70CCB6EF" w:rsidR="00DC7FD5" w:rsidRPr="00B602E0" w:rsidRDefault="00DC7FD5" w:rsidP="002D0E5E">
      <w:pPr>
        <w:numPr>
          <w:ilvl w:val="0"/>
          <w:numId w:val="5"/>
        </w:numPr>
        <w:autoSpaceDE w:val="0"/>
        <w:autoSpaceDN w:val="0"/>
        <w:adjustRightInd w:val="0"/>
        <w:jc w:val="both"/>
        <w:rPr>
          <w:rFonts w:ascii="Verdana" w:hAnsi="Verdana" w:cs="Verdana"/>
          <w:color w:val="000000"/>
          <w:szCs w:val="24"/>
          <w:lang w:eastAsia="en-GB"/>
        </w:rPr>
      </w:pPr>
      <w:r w:rsidRPr="00B602E0">
        <w:rPr>
          <w:rFonts w:cs="Arial"/>
          <w:color w:val="000000"/>
          <w:szCs w:val="24"/>
          <w:lang w:eastAsia="en-GB"/>
        </w:rPr>
        <w:t xml:space="preserve">The Council is required by statute to maintain a separate fund called the Collection Fund for the collection and distribution of amounts due in respect of council tax and national </w:t>
      </w:r>
      <w:r w:rsidR="004B6007" w:rsidRPr="00B602E0">
        <w:rPr>
          <w:rFonts w:cs="Arial"/>
          <w:color w:val="000000"/>
          <w:szCs w:val="24"/>
          <w:lang w:eastAsia="en-GB"/>
        </w:rPr>
        <w:t>nondomestic</w:t>
      </w:r>
      <w:r w:rsidRPr="00B602E0">
        <w:rPr>
          <w:rFonts w:cs="Arial"/>
          <w:color w:val="000000"/>
          <w:szCs w:val="24"/>
          <w:lang w:eastAsia="en-GB"/>
        </w:rPr>
        <w:t xml:space="preserve"> rates (NNDR</w:t>
      </w:r>
      <w:r w:rsidR="009B3594">
        <w:rPr>
          <w:rFonts w:cs="Arial"/>
          <w:color w:val="000000"/>
          <w:szCs w:val="24"/>
          <w:lang w:eastAsia="en-GB"/>
        </w:rPr>
        <w:t xml:space="preserve"> / Business Rates</w:t>
      </w:r>
      <w:r w:rsidRPr="00B602E0">
        <w:rPr>
          <w:rFonts w:cs="Arial"/>
          <w:color w:val="000000"/>
          <w:szCs w:val="24"/>
          <w:lang w:eastAsia="en-GB"/>
        </w:rPr>
        <w:t xml:space="preserve">). The arrangement in respect of council tax is that of an agent </w:t>
      </w:r>
      <w:r w:rsidRPr="00B602E0">
        <w:rPr>
          <w:rFonts w:cs="Arial"/>
          <w:szCs w:val="24"/>
          <w:lang w:eastAsia="en-GB"/>
        </w:rPr>
        <w:t xml:space="preserve">with </w:t>
      </w:r>
      <w:r w:rsidR="00E9784D">
        <w:rPr>
          <w:rFonts w:cs="Arial"/>
          <w:szCs w:val="24"/>
          <w:lang w:eastAsia="en-GB"/>
        </w:rPr>
        <w:t xml:space="preserve">81.47% </w:t>
      </w:r>
      <w:r w:rsidRPr="00B602E0">
        <w:rPr>
          <w:rFonts w:cs="Arial"/>
          <w:color w:val="000000"/>
          <w:szCs w:val="24"/>
          <w:lang w:eastAsia="en-GB"/>
        </w:rPr>
        <w:t xml:space="preserve">being retained by Harrow and </w:t>
      </w:r>
      <w:r w:rsidR="00E9784D">
        <w:rPr>
          <w:rFonts w:cs="Arial"/>
          <w:color w:val="000000"/>
          <w:szCs w:val="24"/>
          <w:lang w:eastAsia="en-GB"/>
        </w:rPr>
        <w:t>18.53%</w:t>
      </w:r>
      <w:r w:rsidRPr="00B602E0">
        <w:rPr>
          <w:rFonts w:cs="Arial"/>
          <w:color w:val="000000"/>
          <w:szCs w:val="24"/>
          <w:lang w:eastAsia="en-GB"/>
        </w:rPr>
        <w:t xml:space="preserve"> going to </w:t>
      </w:r>
      <w:r w:rsidR="004B6007" w:rsidRPr="00B602E0">
        <w:rPr>
          <w:rFonts w:cs="Arial"/>
          <w:color w:val="000000"/>
          <w:szCs w:val="24"/>
          <w:lang w:eastAsia="en-GB"/>
        </w:rPr>
        <w:t>its</w:t>
      </w:r>
      <w:r w:rsidRPr="00B602E0">
        <w:rPr>
          <w:rFonts w:cs="Arial"/>
          <w:color w:val="000000"/>
          <w:szCs w:val="24"/>
          <w:lang w:eastAsia="en-GB"/>
        </w:rPr>
        <w:t xml:space="preserve"> preceptor Greater London Authority. For NNDR the Council is responsible for collecting and distributing the business rates they collect in the proportions </w:t>
      </w:r>
      <w:r w:rsidR="001B6DDB">
        <w:rPr>
          <w:rFonts w:cs="Arial"/>
          <w:color w:val="000000"/>
          <w:szCs w:val="24"/>
          <w:lang w:eastAsia="en-GB"/>
        </w:rPr>
        <w:t>30</w:t>
      </w:r>
      <w:r w:rsidRPr="001B6DDB">
        <w:rPr>
          <w:rFonts w:cs="Arial"/>
          <w:szCs w:val="24"/>
          <w:lang w:eastAsia="en-GB"/>
        </w:rPr>
        <w:t>%</w:t>
      </w:r>
      <w:r w:rsidRPr="00B602E0">
        <w:rPr>
          <w:rFonts w:cs="Arial"/>
          <w:color w:val="000000"/>
          <w:szCs w:val="24"/>
          <w:lang w:eastAsia="en-GB"/>
        </w:rPr>
        <w:t xml:space="preserve"> retained by Harrow</w:t>
      </w:r>
      <w:r w:rsidRPr="004C33BF">
        <w:rPr>
          <w:rFonts w:cs="Arial"/>
          <w:szCs w:val="24"/>
          <w:lang w:eastAsia="en-GB"/>
        </w:rPr>
        <w:t xml:space="preserve">, </w:t>
      </w:r>
      <w:r w:rsidR="001B6DDB">
        <w:rPr>
          <w:rFonts w:cs="Arial"/>
          <w:szCs w:val="24"/>
          <w:lang w:eastAsia="en-GB"/>
        </w:rPr>
        <w:t>37</w:t>
      </w:r>
      <w:r w:rsidRPr="004C33BF">
        <w:rPr>
          <w:rFonts w:cs="Arial"/>
          <w:szCs w:val="24"/>
          <w:lang w:eastAsia="en-GB"/>
        </w:rPr>
        <w:t>%</w:t>
      </w:r>
      <w:r w:rsidRPr="00B602E0">
        <w:rPr>
          <w:rFonts w:cs="Arial"/>
          <w:color w:val="000000"/>
          <w:szCs w:val="24"/>
          <w:lang w:eastAsia="en-GB"/>
        </w:rPr>
        <w:t xml:space="preserve"> to the Greater London Authority</w:t>
      </w:r>
      <w:r>
        <w:rPr>
          <w:rFonts w:cs="Arial"/>
          <w:color w:val="000000"/>
          <w:szCs w:val="24"/>
          <w:lang w:eastAsia="en-GB"/>
        </w:rPr>
        <w:t xml:space="preserve"> and </w:t>
      </w:r>
      <w:r w:rsidR="001B6DDB" w:rsidRPr="001B6DDB">
        <w:rPr>
          <w:rFonts w:cs="Arial"/>
          <w:szCs w:val="24"/>
          <w:lang w:eastAsia="en-GB"/>
        </w:rPr>
        <w:t>33</w:t>
      </w:r>
      <w:r w:rsidRPr="001B6DDB">
        <w:rPr>
          <w:rFonts w:cs="Arial"/>
          <w:szCs w:val="24"/>
          <w:lang w:eastAsia="en-GB"/>
        </w:rPr>
        <w:t>%</w:t>
      </w:r>
      <w:r>
        <w:rPr>
          <w:rFonts w:cs="Arial"/>
          <w:color w:val="000000"/>
          <w:szCs w:val="24"/>
          <w:lang w:eastAsia="en-GB"/>
        </w:rPr>
        <w:t xml:space="preserve"> to Central Government</w:t>
      </w:r>
      <w:r w:rsidRPr="00B602E0">
        <w:rPr>
          <w:rFonts w:cs="Arial"/>
          <w:color w:val="000000"/>
          <w:szCs w:val="24"/>
          <w:lang w:eastAsia="en-GB"/>
        </w:rPr>
        <w:t xml:space="preserve">.  </w:t>
      </w:r>
    </w:p>
    <w:p w14:paraId="55E46208" w14:textId="6B96E9CA" w:rsidR="00DC7FD5" w:rsidRDefault="00DC7FD5" w:rsidP="00DC7FD5">
      <w:pPr>
        <w:autoSpaceDE w:val="0"/>
        <w:autoSpaceDN w:val="0"/>
        <w:adjustRightInd w:val="0"/>
        <w:ind w:left="360"/>
        <w:rPr>
          <w:rFonts w:ascii="Verdana" w:hAnsi="Verdana" w:cs="Verdana"/>
          <w:color w:val="000000"/>
          <w:szCs w:val="24"/>
          <w:lang w:eastAsia="en-GB"/>
        </w:rPr>
      </w:pPr>
    </w:p>
    <w:p w14:paraId="1793E4AB" w14:textId="7F0498D4" w:rsidR="00A778CA" w:rsidRDefault="00A778CA" w:rsidP="00DC7FD5">
      <w:pPr>
        <w:autoSpaceDE w:val="0"/>
        <w:autoSpaceDN w:val="0"/>
        <w:adjustRightInd w:val="0"/>
        <w:ind w:left="360"/>
        <w:rPr>
          <w:rFonts w:ascii="Verdana" w:hAnsi="Verdana" w:cs="Verdana"/>
          <w:color w:val="000000"/>
          <w:szCs w:val="24"/>
          <w:lang w:eastAsia="en-GB"/>
        </w:rPr>
      </w:pPr>
    </w:p>
    <w:p w14:paraId="60A31C0F" w14:textId="77777777" w:rsidR="0093331E" w:rsidRDefault="00CE484E" w:rsidP="00CE484E">
      <w:pPr>
        <w:pStyle w:val="ListParagraph"/>
        <w:numPr>
          <w:ilvl w:val="0"/>
          <w:numId w:val="5"/>
        </w:numPr>
        <w:outlineLvl w:val="1"/>
        <w:rPr>
          <w:rFonts w:cs="Arial"/>
          <w:b/>
          <w:bCs/>
          <w:color w:val="FF0000"/>
          <w:sz w:val="28"/>
          <w:szCs w:val="32"/>
        </w:rPr>
      </w:pPr>
      <w:r w:rsidRPr="00CE484E">
        <w:rPr>
          <w:rFonts w:cs="Arial"/>
          <w:b/>
          <w:bCs/>
          <w:sz w:val="28"/>
          <w:szCs w:val="32"/>
        </w:rPr>
        <w:t>Collection Fund Position</w:t>
      </w:r>
      <w:r w:rsidR="00DC7FD5" w:rsidRPr="00CE484E">
        <w:rPr>
          <w:rFonts w:cs="Arial"/>
          <w:b/>
          <w:bCs/>
          <w:color w:val="FF0000"/>
          <w:sz w:val="28"/>
          <w:szCs w:val="32"/>
        </w:rPr>
        <w:t xml:space="preserve"> </w:t>
      </w:r>
    </w:p>
    <w:p w14:paraId="445A5EDD" w14:textId="1CB9058E" w:rsidR="00FC76EA" w:rsidRPr="005A674A" w:rsidRDefault="0093331E" w:rsidP="0093331E">
      <w:pPr>
        <w:pStyle w:val="ListParagraph"/>
        <w:ind w:left="360"/>
        <w:outlineLvl w:val="1"/>
        <w:rPr>
          <w:rFonts w:cs="Arial"/>
          <w:szCs w:val="24"/>
        </w:rPr>
      </w:pPr>
      <w:r w:rsidRPr="005A674A">
        <w:rPr>
          <w:rFonts w:cs="Arial"/>
          <w:szCs w:val="24"/>
        </w:rPr>
        <w:t xml:space="preserve">Before we </w:t>
      </w:r>
      <w:r w:rsidR="003F5117" w:rsidRPr="005A674A">
        <w:rPr>
          <w:rFonts w:cs="Arial"/>
          <w:szCs w:val="24"/>
        </w:rPr>
        <w:t>set out the reasons for this year</w:t>
      </w:r>
      <w:r w:rsidR="00111943" w:rsidRPr="005A674A">
        <w:rPr>
          <w:rFonts w:cs="Arial"/>
          <w:szCs w:val="24"/>
        </w:rPr>
        <w:t>’</w:t>
      </w:r>
      <w:r w:rsidR="003F5117" w:rsidRPr="005A674A">
        <w:rPr>
          <w:rFonts w:cs="Arial"/>
          <w:szCs w:val="24"/>
        </w:rPr>
        <w:t>s deficit, it is worth setting out</w:t>
      </w:r>
      <w:r w:rsidR="00FC76EA" w:rsidRPr="005A674A">
        <w:rPr>
          <w:rFonts w:cs="Arial"/>
          <w:szCs w:val="24"/>
        </w:rPr>
        <w:t xml:space="preserve"> last </w:t>
      </w:r>
      <w:r w:rsidR="005B0B76" w:rsidRPr="005A674A">
        <w:rPr>
          <w:rFonts w:cs="Arial"/>
          <w:szCs w:val="24"/>
        </w:rPr>
        <w:t>year’s</w:t>
      </w:r>
      <w:r w:rsidR="00FC76EA" w:rsidRPr="005A674A">
        <w:rPr>
          <w:rFonts w:cs="Arial"/>
          <w:szCs w:val="24"/>
        </w:rPr>
        <w:t xml:space="preserve"> position and how that was funded.</w:t>
      </w:r>
    </w:p>
    <w:p w14:paraId="54138A98" w14:textId="5E62764D" w:rsidR="00FC76EA" w:rsidRPr="005A674A" w:rsidRDefault="00FC76EA" w:rsidP="0093331E">
      <w:pPr>
        <w:pStyle w:val="ListParagraph"/>
        <w:ind w:left="360"/>
        <w:outlineLvl w:val="1"/>
        <w:rPr>
          <w:rFonts w:cs="Arial"/>
          <w:szCs w:val="24"/>
        </w:rPr>
      </w:pPr>
    </w:p>
    <w:p w14:paraId="026143C4" w14:textId="4A603AA9" w:rsidR="00FC76EA" w:rsidRPr="005A674A" w:rsidRDefault="00FC76EA" w:rsidP="0093331E">
      <w:pPr>
        <w:pStyle w:val="ListParagraph"/>
        <w:ind w:left="360"/>
        <w:outlineLvl w:val="1"/>
        <w:rPr>
          <w:rFonts w:cs="Arial"/>
          <w:szCs w:val="24"/>
        </w:rPr>
      </w:pPr>
      <w:r w:rsidRPr="005A674A">
        <w:rPr>
          <w:rFonts w:cs="Arial"/>
          <w:szCs w:val="24"/>
        </w:rPr>
        <w:t xml:space="preserve">In last </w:t>
      </w:r>
      <w:r w:rsidR="005B0B76" w:rsidRPr="005A674A">
        <w:rPr>
          <w:rFonts w:cs="Arial"/>
          <w:szCs w:val="24"/>
        </w:rPr>
        <w:t>year’s</w:t>
      </w:r>
      <w:r w:rsidRPr="005A674A">
        <w:rPr>
          <w:rFonts w:cs="Arial"/>
          <w:szCs w:val="24"/>
        </w:rPr>
        <w:t xml:space="preserve"> Cabinet report</w:t>
      </w:r>
      <w:r w:rsidR="00E04A31" w:rsidRPr="005A674A">
        <w:rPr>
          <w:rFonts w:cs="Arial"/>
          <w:szCs w:val="24"/>
        </w:rPr>
        <w:t>, the following deficit for 2020/21 was set out.</w:t>
      </w:r>
    </w:p>
    <w:p w14:paraId="604D0E02" w14:textId="785D9CDF" w:rsidR="00A778CA" w:rsidRPr="005A674A" w:rsidRDefault="00A778CA" w:rsidP="00A778CA">
      <w:pPr>
        <w:autoSpaceDE w:val="0"/>
        <w:autoSpaceDN w:val="0"/>
        <w:adjustRightInd w:val="0"/>
        <w:rPr>
          <w:rFonts w:cs="Arial"/>
          <w:szCs w:val="24"/>
          <w:lang w:eastAsia="en-GB"/>
        </w:rPr>
      </w:pPr>
    </w:p>
    <w:tbl>
      <w:tblPr>
        <w:tblW w:w="7848"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1134"/>
        <w:gridCol w:w="1134"/>
        <w:gridCol w:w="993"/>
        <w:gridCol w:w="992"/>
        <w:gridCol w:w="1134"/>
      </w:tblGrid>
      <w:tr w:rsidR="005A674A" w:rsidRPr="005A674A" w14:paraId="56E72BEF" w14:textId="77777777" w:rsidTr="00E24B57">
        <w:trPr>
          <w:trHeight w:val="345"/>
        </w:trPr>
        <w:tc>
          <w:tcPr>
            <w:tcW w:w="2461" w:type="dxa"/>
          </w:tcPr>
          <w:p w14:paraId="071F3D9E" w14:textId="77777777" w:rsidR="00A778CA" w:rsidRPr="005A674A" w:rsidRDefault="00A778CA" w:rsidP="00E24B57">
            <w:pPr>
              <w:autoSpaceDE w:val="0"/>
              <w:autoSpaceDN w:val="0"/>
              <w:adjustRightInd w:val="0"/>
              <w:jc w:val="center"/>
              <w:rPr>
                <w:rFonts w:cs="Arial"/>
                <w:b/>
                <w:sz w:val="18"/>
                <w:szCs w:val="18"/>
                <w:lang w:eastAsia="en-GB"/>
              </w:rPr>
            </w:pPr>
          </w:p>
        </w:tc>
        <w:tc>
          <w:tcPr>
            <w:tcW w:w="2268" w:type="dxa"/>
            <w:gridSpan w:val="2"/>
          </w:tcPr>
          <w:p w14:paraId="548B9689" w14:textId="77777777" w:rsidR="00A778CA" w:rsidRPr="005A674A" w:rsidRDefault="00A778CA" w:rsidP="00E24B57">
            <w:pPr>
              <w:autoSpaceDE w:val="0"/>
              <w:autoSpaceDN w:val="0"/>
              <w:adjustRightInd w:val="0"/>
              <w:jc w:val="center"/>
              <w:rPr>
                <w:rFonts w:cs="Arial"/>
                <w:b/>
                <w:sz w:val="18"/>
                <w:szCs w:val="18"/>
                <w:lang w:eastAsia="en-GB"/>
              </w:rPr>
            </w:pPr>
            <w:r w:rsidRPr="005A674A">
              <w:rPr>
                <w:rFonts w:cs="Arial"/>
                <w:b/>
                <w:sz w:val="18"/>
                <w:szCs w:val="18"/>
                <w:lang w:eastAsia="en-GB"/>
              </w:rPr>
              <w:t>Council Tax (Table 1a)</w:t>
            </w:r>
          </w:p>
        </w:tc>
        <w:tc>
          <w:tcPr>
            <w:tcW w:w="1985" w:type="dxa"/>
            <w:gridSpan w:val="2"/>
          </w:tcPr>
          <w:p w14:paraId="0A1AF232" w14:textId="77777777" w:rsidR="00A778CA" w:rsidRPr="005A674A" w:rsidRDefault="00A778CA" w:rsidP="00E24B57">
            <w:pPr>
              <w:autoSpaceDE w:val="0"/>
              <w:autoSpaceDN w:val="0"/>
              <w:adjustRightInd w:val="0"/>
              <w:jc w:val="center"/>
              <w:rPr>
                <w:rFonts w:cs="Arial"/>
                <w:b/>
                <w:sz w:val="18"/>
                <w:szCs w:val="18"/>
                <w:lang w:eastAsia="en-GB"/>
              </w:rPr>
            </w:pPr>
            <w:r w:rsidRPr="005A674A">
              <w:rPr>
                <w:rFonts w:cs="Arial"/>
                <w:b/>
                <w:sz w:val="18"/>
                <w:szCs w:val="18"/>
                <w:lang w:eastAsia="en-GB"/>
              </w:rPr>
              <w:t xml:space="preserve">NNDR </w:t>
            </w:r>
          </w:p>
          <w:p w14:paraId="46CA1545" w14:textId="77777777" w:rsidR="00A778CA" w:rsidRPr="005A674A" w:rsidRDefault="00A778CA" w:rsidP="00E24B57">
            <w:pPr>
              <w:autoSpaceDE w:val="0"/>
              <w:autoSpaceDN w:val="0"/>
              <w:adjustRightInd w:val="0"/>
              <w:jc w:val="center"/>
              <w:rPr>
                <w:rFonts w:cs="Arial"/>
                <w:b/>
                <w:sz w:val="18"/>
                <w:szCs w:val="18"/>
                <w:lang w:eastAsia="en-GB"/>
              </w:rPr>
            </w:pPr>
            <w:r w:rsidRPr="005A674A">
              <w:rPr>
                <w:rFonts w:cs="Arial"/>
                <w:b/>
                <w:sz w:val="18"/>
                <w:szCs w:val="18"/>
                <w:lang w:eastAsia="en-GB"/>
              </w:rPr>
              <w:t>(Table 2a)</w:t>
            </w:r>
          </w:p>
        </w:tc>
        <w:tc>
          <w:tcPr>
            <w:tcW w:w="1134" w:type="dxa"/>
          </w:tcPr>
          <w:p w14:paraId="519EDF3E" w14:textId="77777777" w:rsidR="00A778CA" w:rsidRPr="005A674A" w:rsidRDefault="00A778CA" w:rsidP="00E24B57">
            <w:pPr>
              <w:autoSpaceDE w:val="0"/>
              <w:autoSpaceDN w:val="0"/>
              <w:adjustRightInd w:val="0"/>
              <w:jc w:val="center"/>
              <w:rPr>
                <w:rFonts w:cs="Arial"/>
                <w:b/>
                <w:sz w:val="18"/>
                <w:szCs w:val="18"/>
                <w:lang w:eastAsia="en-GB"/>
              </w:rPr>
            </w:pPr>
            <w:r w:rsidRPr="005A674A">
              <w:rPr>
                <w:rFonts w:cs="Arial"/>
                <w:b/>
                <w:sz w:val="18"/>
                <w:szCs w:val="18"/>
                <w:lang w:eastAsia="en-GB"/>
              </w:rPr>
              <w:t>Total</w:t>
            </w:r>
          </w:p>
        </w:tc>
      </w:tr>
      <w:tr w:rsidR="005A674A" w:rsidRPr="005A674A" w14:paraId="538CDDF4" w14:textId="77777777" w:rsidTr="00E24B57">
        <w:tc>
          <w:tcPr>
            <w:tcW w:w="2461" w:type="dxa"/>
          </w:tcPr>
          <w:p w14:paraId="7D8D4491" w14:textId="77777777" w:rsidR="00A778CA" w:rsidRPr="005A674A" w:rsidRDefault="00A778CA" w:rsidP="00E24B57">
            <w:pPr>
              <w:autoSpaceDE w:val="0"/>
              <w:autoSpaceDN w:val="0"/>
              <w:adjustRightInd w:val="0"/>
              <w:jc w:val="center"/>
              <w:rPr>
                <w:rFonts w:cs="Arial"/>
                <w:sz w:val="18"/>
                <w:szCs w:val="18"/>
                <w:lang w:eastAsia="en-GB"/>
              </w:rPr>
            </w:pPr>
          </w:p>
        </w:tc>
        <w:tc>
          <w:tcPr>
            <w:tcW w:w="1134" w:type="dxa"/>
          </w:tcPr>
          <w:p w14:paraId="2F8C593A" w14:textId="77777777" w:rsidR="00A778CA" w:rsidRPr="005A674A" w:rsidRDefault="00A778CA" w:rsidP="00E24B57">
            <w:pPr>
              <w:autoSpaceDE w:val="0"/>
              <w:autoSpaceDN w:val="0"/>
              <w:adjustRightInd w:val="0"/>
              <w:jc w:val="center"/>
              <w:rPr>
                <w:rFonts w:cs="Arial"/>
                <w:sz w:val="18"/>
                <w:szCs w:val="18"/>
                <w:lang w:eastAsia="en-GB"/>
              </w:rPr>
            </w:pPr>
            <w:r w:rsidRPr="005A674A">
              <w:rPr>
                <w:rFonts w:cs="Arial"/>
                <w:sz w:val="18"/>
                <w:szCs w:val="18"/>
                <w:lang w:eastAsia="en-GB"/>
              </w:rPr>
              <w:t>%</w:t>
            </w:r>
          </w:p>
        </w:tc>
        <w:tc>
          <w:tcPr>
            <w:tcW w:w="1134" w:type="dxa"/>
          </w:tcPr>
          <w:p w14:paraId="3647C4F0" w14:textId="77777777" w:rsidR="00A778CA" w:rsidRPr="005A674A" w:rsidRDefault="00A778CA" w:rsidP="00E24B57">
            <w:pPr>
              <w:autoSpaceDE w:val="0"/>
              <w:autoSpaceDN w:val="0"/>
              <w:adjustRightInd w:val="0"/>
              <w:jc w:val="center"/>
              <w:rPr>
                <w:rFonts w:cs="Arial"/>
                <w:sz w:val="18"/>
                <w:szCs w:val="18"/>
                <w:lang w:eastAsia="en-GB"/>
              </w:rPr>
            </w:pPr>
            <w:r w:rsidRPr="005A674A">
              <w:rPr>
                <w:rFonts w:cs="Arial"/>
                <w:sz w:val="18"/>
                <w:szCs w:val="18"/>
                <w:lang w:eastAsia="en-GB"/>
              </w:rPr>
              <w:t>£m</w:t>
            </w:r>
          </w:p>
        </w:tc>
        <w:tc>
          <w:tcPr>
            <w:tcW w:w="993" w:type="dxa"/>
          </w:tcPr>
          <w:p w14:paraId="7A5AEDDF" w14:textId="77777777" w:rsidR="00A778CA" w:rsidRPr="005A674A" w:rsidRDefault="00A778CA" w:rsidP="00E24B57">
            <w:pPr>
              <w:autoSpaceDE w:val="0"/>
              <w:autoSpaceDN w:val="0"/>
              <w:adjustRightInd w:val="0"/>
              <w:jc w:val="center"/>
              <w:rPr>
                <w:rFonts w:cs="Arial"/>
                <w:sz w:val="18"/>
                <w:szCs w:val="18"/>
                <w:lang w:eastAsia="en-GB"/>
              </w:rPr>
            </w:pPr>
            <w:r w:rsidRPr="005A674A">
              <w:rPr>
                <w:rFonts w:cs="Arial"/>
                <w:sz w:val="18"/>
                <w:szCs w:val="18"/>
                <w:lang w:eastAsia="en-GB"/>
              </w:rPr>
              <w:t>%</w:t>
            </w:r>
          </w:p>
        </w:tc>
        <w:tc>
          <w:tcPr>
            <w:tcW w:w="992" w:type="dxa"/>
          </w:tcPr>
          <w:p w14:paraId="0D64772E" w14:textId="77777777" w:rsidR="00A778CA" w:rsidRPr="005A674A" w:rsidRDefault="00A778CA" w:rsidP="00E24B57">
            <w:pPr>
              <w:autoSpaceDE w:val="0"/>
              <w:autoSpaceDN w:val="0"/>
              <w:adjustRightInd w:val="0"/>
              <w:jc w:val="center"/>
              <w:rPr>
                <w:rFonts w:cs="Arial"/>
                <w:sz w:val="18"/>
                <w:szCs w:val="18"/>
                <w:lang w:eastAsia="en-GB"/>
              </w:rPr>
            </w:pPr>
            <w:r w:rsidRPr="005A674A">
              <w:rPr>
                <w:rFonts w:cs="Arial"/>
                <w:sz w:val="18"/>
                <w:szCs w:val="18"/>
                <w:lang w:eastAsia="en-GB"/>
              </w:rPr>
              <w:t>£m</w:t>
            </w:r>
          </w:p>
        </w:tc>
        <w:tc>
          <w:tcPr>
            <w:tcW w:w="1134" w:type="dxa"/>
          </w:tcPr>
          <w:p w14:paraId="623CDA3A" w14:textId="77777777" w:rsidR="00A778CA" w:rsidRPr="005A674A" w:rsidRDefault="00A778CA" w:rsidP="00E24B57">
            <w:pPr>
              <w:autoSpaceDE w:val="0"/>
              <w:autoSpaceDN w:val="0"/>
              <w:adjustRightInd w:val="0"/>
              <w:jc w:val="center"/>
              <w:rPr>
                <w:rFonts w:cs="Arial"/>
                <w:sz w:val="18"/>
                <w:szCs w:val="18"/>
                <w:lang w:eastAsia="en-GB"/>
              </w:rPr>
            </w:pPr>
            <w:r w:rsidRPr="005A674A">
              <w:rPr>
                <w:rFonts w:cs="Arial"/>
                <w:sz w:val="18"/>
                <w:szCs w:val="18"/>
                <w:lang w:eastAsia="en-GB"/>
              </w:rPr>
              <w:t>£m</w:t>
            </w:r>
          </w:p>
        </w:tc>
      </w:tr>
      <w:tr w:rsidR="005A674A" w:rsidRPr="005A674A" w14:paraId="3648769C" w14:textId="77777777" w:rsidTr="00E24B57">
        <w:tc>
          <w:tcPr>
            <w:tcW w:w="2461" w:type="dxa"/>
          </w:tcPr>
          <w:p w14:paraId="5E2BAF48" w14:textId="77777777" w:rsidR="00A778CA" w:rsidRPr="005A674A" w:rsidRDefault="00A778CA" w:rsidP="00E24B57">
            <w:pPr>
              <w:autoSpaceDE w:val="0"/>
              <w:autoSpaceDN w:val="0"/>
              <w:adjustRightInd w:val="0"/>
              <w:rPr>
                <w:rFonts w:cs="Arial"/>
                <w:b/>
                <w:bCs/>
                <w:sz w:val="18"/>
                <w:szCs w:val="18"/>
                <w:lang w:eastAsia="en-GB"/>
              </w:rPr>
            </w:pPr>
            <w:r w:rsidRPr="005A674A">
              <w:rPr>
                <w:rFonts w:cs="Arial"/>
                <w:b/>
                <w:bCs/>
                <w:sz w:val="18"/>
                <w:szCs w:val="18"/>
                <w:lang w:eastAsia="en-GB"/>
              </w:rPr>
              <w:t>Harrow Council</w:t>
            </w:r>
          </w:p>
        </w:tc>
        <w:tc>
          <w:tcPr>
            <w:tcW w:w="1134" w:type="dxa"/>
          </w:tcPr>
          <w:p w14:paraId="4CF04E99" w14:textId="77777777" w:rsidR="00A778CA" w:rsidRPr="005A674A" w:rsidRDefault="00A778CA" w:rsidP="00E24B57">
            <w:pPr>
              <w:autoSpaceDE w:val="0"/>
              <w:autoSpaceDN w:val="0"/>
              <w:adjustRightInd w:val="0"/>
              <w:jc w:val="right"/>
              <w:rPr>
                <w:rFonts w:cs="Arial"/>
                <w:b/>
                <w:bCs/>
                <w:sz w:val="18"/>
                <w:szCs w:val="18"/>
                <w:lang w:eastAsia="en-GB"/>
              </w:rPr>
            </w:pPr>
            <w:r w:rsidRPr="005A674A">
              <w:rPr>
                <w:rFonts w:cs="Arial"/>
                <w:b/>
                <w:bCs/>
                <w:sz w:val="18"/>
                <w:szCs w:val="18"/>
                <w:lang w:eastAsia="en-GB"/>
              </w:rPr>
              <w:t>82.04</w:t>
            </w:r>
          </w:p>
        </w:tc>
        <w:tc>
          <w:tcPr>
            <w:tcW w:w="1134" w:type="dxa"/>
          </w:tcPr>
          <w:p w14:paraId="3A041D92" w14:textId="77777777" w:rsidR="00A778CA" w:rsidRPr="005A674A" w:rsidRDefault="00A778CA" w:rsidP="00E24B57">
            <w:pPr>
              <w:autoSpaceDE w:val="0"/>
              <w:autoSpaceDN w:val="0"/>
              <w:adjustRightInd w:val="0"/>
              <w:jc w:val="right"/>
              <w:rPr>
                <w:rFonts w:cs="Arial"/>
                <w:b/>
                <w:bCs/>
                <w:sz w:val="18"/>
                <w:szCs w:val="18"/>
                <w:highlight w:val="yellow"/>
                <w:lang w:eastAsia="en-GB"/>
              </w:rPr>
            </w:pPr>
            <w:r w:rsidRPr="005A674A">
              <w:rPr>
                <w:rFonts w:cs="Arial"/>
                <w:b/>
                <w:bCs/>
                <w:sz w:val="18"/>
                <w:szCs w:val="18"/>
                <w:lang w:eastAsia="en-GB"/>
              </w:rPr>
              <w:t>0.006</w:t>
            </w:r>
          </w:p>
        </w:tc>
        <w:tc>
          <w:tcPr>
            <w:tcW w:w="993" w:type="dxa"/>
          </w:tcPr>
          <w:p w14:paraId="4AEF49A6" w14:textId="77777777" w:rsidR="00A778CA" w:rsidRPr="005A674A" w:rsidRDefault="00A778CA" w:rsidP="00E24B57">
            <w:pPr>
              <w:autoSpaceDE w:val="0"/>
              <w:autoSpaceDN w:val="0"/>
              <w:adjustRightInd w:val="0"/>
              <w:ind w:left="-269"/>
              <w:jc w:val="right"/>
              <w:rPr>
                <w:rFonts w:cs="Arial"/>
                <w:b/>
                <w:bCs/>
                <w:sz w:val="18"/>
                <w:szCs w:val="18"/>
                <w:highlight w:val="yellow"/>
                <w:lang w:eastAsia="en-GB"/>
              </w:rPr>
            </w:pPr>
            <w:r w:rsidRPr="005A674A">
              <w:rPr>
                <w:rFonts w:cs="Arial"/>
                <w:b/>
                <w:bCs/>
                <w:sz w:val="18"/>
                <w:szCs w:val="18"/>
                <w:lang w:eastAsia="en-GB"/>
              </w:rPr>
              <w:t>30</w:t>
            </w:r>
          </w:p>
        </w:tc>
        <w:tc>
          <w:tcPr>
            <w:tcW w:w="992" w:type="dxa"/>
          </w:tcPr>
          <w:p w14:paraId="58E93673" w14:textId="77777777" w:rsidR="00A778CA" w:rsidRPr="005A674A" w:rsidRDefault="00A778CA" w:rsidP="00E24B57">
            <w:pPr>
              <w:autoSpaceDE w:val="0"/>
              <w:autoSpaceDN w:val="0"/>
              <w:adjustRightInd w:val="0"/>
              <w:jc w:val="right"/>
              <w:rPr>
                <w:rFonts w:cs="Arial"/>
                <w:b/>
                <w:bCs/>
                <w:sz w:val="18"/>
                <w:szCs w:val="18"/>
                <w:highlight w:val="yellow"/>
                <w:lang w:eastAsia="en-GB"/>
              </w:rPr>
            </w:pPr>
            <w:r w:rsidRPr="005A674A">
              <w:rPr>
                <w:rFonts w:cs="Arial"/>
                <w:b/>
                <w:bCs/>
                <w:sz w:val="18"/>
                <w:szCs w:val="18"/>
                <w:lang w:eastAsia="en-GB"/>
              </w:rPr>
              <w:t>(8.873)</w:t>
            </w:r>
          </w:p>
        </w:tc>
        <w:tc>
          <w:tcPr>
            <w:tcW w:w="1134" w:type="dxa"/>
          </w:tcPr>
          <w:p w14:paraId="05DACF1E" w14:textId="77777777" w:rsidR="00A778CA" w:rsidRPr="005A674A" w:rsidRDefault="00A778CA" w:rsidP="00E24B57">
            <w:pPr>
              <w:autoSpaceDE w:val="0"/>
              <w:autoSpaceDN w:val="0"/>
              <w:adjustRightInd w:val="0"/>
              <w:ind w:right="26"/>
              <w:jc w:val="center"/>
              <w:rPr>
                <w:rFonts w:cs="Arial"/>
                <w:b/>
                <w:bCs/>
                <w:sz w:val="18"/>
                <w:szCs w:val="18"/>
                <w:lang w:eastAsia="en-GB"/>
              </w:rPr>
            </w:pPr>
            <w:r w:rsidRPr="005A674A">
              <w:rPr>
                <w:rFonts w:cs="Arial"/>
                <w:b/>
                <w:bCs/>
                <w:sz w:val="18"/>
                <w:szCs w:val="18"/>
                <w:lang w:eastAsia="en-GB"/>
              </w:rPr>
              <w:t xml:space="preserve">  </w:t>
            </w:r>
            <w:proofErr w:type="gramStart"/>
            <w:r w:rsidRPr="005A674A">
              <w:rPr>
                <w:rFonts w:cs="Arial"/>
                <w:b/>
                <w:bCs/>
                <w:sz w:val="18"/>
                <w:szCs w:val="18"/>
                <w:lang w:eastAsia="en-GB"/>
              </w:rPr>
              <w:t>( 8,867</w:t>
            </w:r>
            <w:proofErr w:type="gramEnd"/>
            <w:r w:rsidRPr="005A674A">
              <w:rPr>
                <w:rFonts w:cs="Arial"/>
                <w:b/>
                <w:bCs/>
                <w:sz w:val="18"/>
                <w:szCs w:val="18"/>
                <w:lang w:eastAsia="en-GB"/>
              </w:rPr>
              <w:t>)</w:t>
            </w:r>
          </w:p>
        </w:tc>
      </w:tr>
      <w:tr w:rsidR="005A674A" w:rsidRPr="005A674A" w14:paraId="1A1D84E5" w14:textId="77777777" w:rsidTr="00E24B57">
        <w:tc>
          <w:tcPr>
            <w:tcW w:w="2461" w:type="dxa"/>
          </w:tcPr>
          <w:p w14:paraId="14FB07CE" w14:textId="77777777" w:rsidR="00A778CA" w:rsidRPr="005A674A" w:rsidRDefault="00A778CA" w:rsidP="00E24B57">
            <w:pPr>
              <w:autoSpaceDE w:val="0"/>
              <w:autoSpaceDN w:val="0"/>
              <w:adjustRightInd w:val="0"/>
              <w:rPr>
                <w:rFonts w:cs="Arial"/>
                <w:sz w:val="18"/>
                <w:szCs w:val="18"/>
                <w:lang w:eastAsia="en-GB"/>
              </w:rPr>
            </w:pPr>
            <w:r w:rsidRPr="005A674A">
              <w:rPr>
                <w:rFonts w:cs="Arial"/>
                <w:sz w:val="18"/>
                <w:szCs w:val="18"/>
                <w:lang w:eastAsia="en-GB"/>
              </w:rPr>
              <w:t>Greater London Authority</w:t>
            </w:r>
          </w:p>
        </w:tc>
        <w:tc>
          <w:tcPr>
            <w:tcW w:w="1134" w:type="dxa"/>
          </w:tcPr>
          <w:p w14:paraId="7D672819" w14:textId="77777777" w:rsidR="00A778CA" w:rsidRPr="005A674A" w:rsidRDefault="00A778CA" w:rsidP="00E24B57">
            <w:pPr>
              <w:autoSpaceDE w:val="0"/>
              <w:autoSpaceDN w:val="0"/>
              <w:adjustRightInd w:val="0"/>
              <w:jc w:val="right"/>
              <w:rPr>
                <w:rFonts w:cs="Arial"/>
                <w:sz w:val="18"/>
                <w:szCs w:val="18"/>
                <w:lang w:eastAsia="en-GB"/>
              </w:rPr>
            </w:pPr>
            <w:r w:rsidRPr="005A674A">
              <w:rPr>
                <w:rFonts w:cs="Arial"/>
                <w:sz w:val="18"/>
                <w:szCs w:val="18"/>
                <w:lang w:eastAsia="en-GB"/>
              </w:rPr>
              <w:t>17.96</w:t>
            </w:r>
          </w:p>
        </w:tc>
        <w:tc>
          <w:tcPr>
            <w:tcW w:w="1134" w:type="dxa"/>
          </w:tcPr>
          <w:p w14:paraId="797A451C" w14:textId="77777777" w:rsidR="00A778CA" w:rsidRPr="005A674A" w:rsidRDefault="00A778CA" w:rsidP="00E24B57">
            <w:pPr>
              <w:autoSpaceDE w:val="0"/>
              <w:autoSpaceDN w:val="0"/>
              <w:adjustRightInd w:val="0"/>
              <w:jc w:val="right"/>
              <w:rPr>
                <w:rFonts w:cs="Arial"/>
                <w:sz w:val="18"/>
                <w:szCs w:val="18"/>
                <w:highlight w:val="yellow"/>
                <w:lang w:eastAsia="en-GB"/>
              </w:rPr>
            </w:pPr>
            <w:r w:rsidRPr="005A674A">
              <w:rPr>
                <w:rFonts w:cs="Arial"/>
                <w:sz w:val="18"/>
                <w:szCs w:val="18"/>
                <w:lang w:eastAsia="en-GB"/>
              </w:rPr>
              <w:t>0.001</w:t>
            </w:r>
          </w:p>
        </w:tc>
        <w:tc>
          <w:tcPr>
            <w:tcW w:w="993" w:type="dxa"/>
          </w:tcPr>
          <w:p w14:paraId="62BA3117" w14:textId="77777777" w:rsidR="00A778CA" w:rsidRPr="005A674A" w:rsidRDefault="00A778CA" w:rsidP="00E24B57">
            <w:pPr>
              <w:autoSpaceDE w:val="0"/>
              <w:autoSpaceDN w:val="0"/>
              <w:adjustRightInd w:val="0"/>
              <w:jc w:val="right"/>
              <w:rPr>
                <w:rFonts w:cs="Arial"/>
                <w:sz w:val="18"/>
                <w:szCs w:val="18"/>
                <w:highlight w:val="yellow"/>
                <w:lang w:eastAsia="en-GB"/>
              </w:rPr>
            </w:pPr>
            <w:r w:rsidRPr="005A674A">
              <w:rPr>
                <w:rFonts w:cs="Arial"/>
                <w:sz w:val="18"/>
                <w:szCs w:val="18"/>
                <w:lang w:eastAsia="en-GB"/>
              </w:rPr>
              <w:t>37</w:t>
            </w:r>
          </w:p>
        </w:tc>
        <w:tc>
          <w:tcPr>
            <w:tcW w:w="992" w:type="dxa"/>
          </w:tcPr>
          <w:p w14:paraId="1BFA2B2E" w14:textId="77777777" w:rsidR="00A778CA" w:rsidRPr="005A674A" w:rsidRDefault="00A778CA" w:rsidP="00E24B57">
            <w:pPr>
              <w:autoSpaceDE w:val="0"/>
              <w:autoSpaceDN w:val="0"/>
              <w:adjustRightInd w:val="0"/>
              <w:jc w:val="right"/>
              <w:rPr>
                <w:rFonts w:cs="Arial"/>
                <w:sz w:val="18"/>
                <w:szCs w:val="18"/>
                <w:lang w:eastAsia="en-GB"/>
              </w:rPr>
            </w:pPr>
            <w:r w:rsidRPr="005A674A">
              <w:rPr>
                <w:rFonts w:cs="Arial"/>
                <w:sz w:val="18"/>
                <w:szCs w:val="18"/>
                <w:lang w:eastAsia="en-GB"/>
              </w:rPr>
              <w:t>(10,943)</w:t>
            </w:r>
          </w:p>
        </w:tc>
        <w:tc>
          <w:tcPr>
            <w:tcW w:w="1134" w:type="dxa"/>
          </w:tcPr>
          <w:p w14:paraId="675745CC" w14:textId="77777777" w:rsidR="00A778CA" w:rsidRPr="005A674A" w:rsidRDefault="00A778CA" w:rsidP="00E24B57">
            <w:pPr>
              <w:autoSpaceDE w:val="0"/>
              <w:autoSpaceDN w:val="0"/>
              <w:adjustRightInd w:val="0"/>
              <w:ind w:right="103"/>
              <w:jc w:val="right"/>
              <w:rPr>
                <w:rFonts w:cs="Arial"/>
                <w:sz w:val="18"/>
                <w:szCs w:val="18"/>
                <w:lang w:eastAsia="en-GB"/>
              </w:rPr>
            </w:pPr>
            <w:r w:rsidRPr="005A674A">
              <w:rPr>
                <w:rFonts w:cs="Arial"/>
                <w:sz w:val="18"/>
                <w:szCs w:val="18"/>
                <w:lang w:eastAsia="en-GB"/>
              </w:rPr>
              <w:t>(10.942)</w:t>
            </w:r>
          </w:p>
        </w:tc>
      </w:tr>
      <w:tr w:rsidR="005A674A" w:rsidRPr="005A674A" w14:paraId="178BBB6E" w14:textId="77777777" w:rsidTr="00E24B57">
        <w:tc>
          <w:tcPr>
            <w:tcW w:w="2461" w:type="dxa"/>
          </w:tcPr>
          <w:p w14:paraId="797FFA3D" w14:textId="77777777" w:rsidR="00A778CA" w:rsidRPr="005A674A" w:rsidRDefault="00A778CA" w:rsidP="00E24B57">
            <w:pPr>
              <w:autoSpaceDE w:val="0"/>
              <w:autoSpaceDN w:val="0"/>
              <w:adjustRightInd w:val="0"/>
              <w:rPr>
                <w:rFonts w:cs="Arial"/>
                <w:sz w:val="18"/>
                <w:szCs w:val="18"/>
                <w:lang w:eastAsia="en-GB"/>
              </w:rPr>
            </w:pPr>
            <w:r w:rsidRPr="005A674A">
              <w:rPr>
                <w:rFonts w:cs="Arial"/>
                <w:sz w:val="18"/>
                <w:szCs w:val="18"/>
                <w:lang w:eastAsia="en-GB"/>
              </w:rPr>
              <w:t>Central Government</w:t>
            </w:r>
          </w:p>
        </w:tc>
        <w:tc>
          <w:tcPr>
            <w:tcW w:w="1134" w:type="dxa"/>
          </w:tcPr>
          <w:p w14:paraId="3DAFE714" w14:textId="77777777" w:rsidR="00A778CA" w:rsidRPr="005A674A" w:rsidRDefault="00A778CA" w:rsidP="00E24B57">
            <w:pPr>
              <w:autoSpaceDE w:val="0"/>
              <w:autoSpaceDN w:val="0"/>
              <w:adjustRightInd w:val="0"/>
              <w:rPr>
                <w:rFonts w:cs="Arial"/>
                <w:sz w:val="18"/>
                <w:szCs w:val="18"/>
                <w:highlight w:val="yellow"/>
                <w:lang w:eastAsia="en-GB"/>
              </w:rPr>
            </w:pPr>
          </w:p>
        </w:tc>
        <w:tc>
          <w:tcPr>
            <w:tcW w:w="1134" w:type="dxa"/>
          </w:tcPr>
          <w:p w14:paraId="2040B9EB" w14:textId="77777777" w:rsidR="00A778CA" w:rsidRPr="005A674A" w:rsidRDefault="00A778CA" w:rsidP="00E24B57">
            <w:pPr>
              <w:autoSpaceDE w:val="0"/>
              <w:autoSpaceDN w:val="0"/>
              <w:adjustRightInd w:val="0"/>
              <w:jc w:val="center"/>
              <w:rPr>
                <w:rFonts w:cs="Arial"/>
                <w:sz w:val="18"/>
                <w:szCs w:val="18"/>
                <w:highlight w:val="yellow"/>
                <w:lang w:eastAsia="en-GB"/>
              </w:rPr>
            </w:pPr>
          </w:p>
        </w:tc>
        <w:tc>
          <w:tcPr>
            <w:tcW w:w="993" w:type="dxa"/>
          </w:tcPr>
          <w:p w14:paraId="6E292311" w14:textId="77777777" w:rsidR="00A778CA" w:rsidRPr="005A674A" w:rsidRDefault="00A778CA" w:rsidP="00E24B57">
            <w:pPr>
              <w:autoSpaceDE w:val="0"/>
              <w:autoSpaceDN w:val="0"/>
              <w:adjustRightInd w:val="0"/>
              <w:jc w:val="right"/>
              <w:rPr>
                <w:rFonts w:cs="Arial"/>
                <w:sz w:val="18"/>
                <w:szCs w:val="18"/>
                <w:highlight w:val="yellow"/>
                <w:lang w:eastAsia="en-GB"/>
              </w:rPr>
            </w:pPr>
            <w:r w:rsidRPr="005A674A">
              <w:rPr>
                <w:rFonts w:cs="Arial"/>
                <w:sz w:val="18"/>
                <w:szCs w:val="18"/>
                <w:lang w:eastAsia="en-GB"/>
              </w:rPr>
              <w:t>33</w:t>
            </w:r>
          </w:p>
        </w:tc>
        <w:tc>
          <w:tcPr>
            <w:tcW w:w="992" w:type="dxa"/>
          </w:tcPr>
          <w:p w14:paraId="3B3333F2" w14:textId="77777777" w:rsidR="00A778CA" w:rsidRPr="005A674A" w:rsidRDefault="00A778CA" w:rsidP="00E24B57">
            <w:pPr>
              <w:autoSpaceDE w:val="0"/>
              <w:autoSpaceDN w:val="0"/>
              <w:adjustRightInd w:val="0"/>
              <w:jc w:val="right"/>
              <w:rPr>
                <w:rFonts w:cs="Arial"/>
                <w:sz w:val="18"/>
                <w:szCs w:val="18"/>
                <w:lang w:eastAsia="en-GB"/>
              </w:rPr>
            </w:pPr>
            <w:r w:rsidRPr="005A674A">
              <w:rPr>
                <w:rFonts w:cs="Arial"/>
                <w:sz w:val="18"/>
                <w:szCs w:val="18"/>
                <w:lang w:eastAsia="en-GB"/>
              </w:rPr>
              <w:t>(9.760)</w:t>
            </w:r>
          </w:p>
        </w:tc>
        <w:tc>
          <w:tcPr>
            <w:tcW w:w="1134" w:type="dxa"/>
          </w:tcPr>
          <w:p w14:paraId="365C8CA1" w14:textId="77777777" w:rsidR="00A778CA" w:rsidRPr="005A674A" w:rsidRDefault="00A778CA" w:rsidP="00E24B57">
            <w:pPr>
              <w:autoSpaceDE w:val="0"/>
              <w:autoSpaceDN w:val="0"/>
              <w:adjustRightInd w:val="0"/>
              <w:ind w:right="103"/>
              <w:jc w:val="right"/>
              <w:rPr>
                <w:rFonts w:cs="Arial"/>
                <w:sz w:val="18"/>
                <w:szCs w:val="18"/>
                <w:lang w:eastAsia="en-GB"/>
              </w:rPr>
            </w:pPr>
            <w:r w:rsidRPr="005A674A">
              <w:rPr>
                <w:rFonts w:cs="Arial"/>
                <w:sz w:val="18"/>
                <w:szCs w:val="18"/>
                <w:lang w:eastAsia="en-GB"/>
              </w:rPr>
              <w:t>(9.760)</w:t>
            </w:r>
          </w:p>
        </w:tc>
      </w:tr>
      <w:tr w:rsidR="00397EA9" w:rsidRPr="005A674A" w14:paraId="514FF767" w14:textId="77777777" w:rsidTr="00E24B57">
        <w:tc>
          <w:tcPr>
            <w:tcW w:w="2461" w:type="dxa"/>
          </w:tcPr>
          <w:p w14:paraId="66A2349D" w14:textId="77777777" w:rsidR="00A778CA" w:rsidRPr="005A674A" w:rsidRDefault="00A778CA" w:rsidP="00E24B57">
            <w:pPr>
              <w:autoSpaceDE w:val="0"/>
              <w:autoSpaceDN w:val="0"/>
              <w:adjustRightInd w:val="0"/>
              <w:rPr>
                <w:rFonts w:cs="Arial"/>
                <w:b/>
                <w:sz w:val="18"/>
                <w:szCs w:val="18"/>
                <w:lang w:eastAsia="en-GB"/>
              </w:rPr>
            </w:pPr>
          </w:p>
        </w:tc>
        <w:tc>
          <w:tcPr>
            <w:tcW w:w="1134" w:type="dxa"/>
          </w:tcPr>
          <w:p w14:paraId="77C95A13" w14:textId="77777777" w:rsidR="00A778CA" w:rsidRPr="005A674A" w:rsidRDefault="00A778CA" w:rsidP="00E24B57">
            <w:pPr>
              <w:autoSpaceDE w:val="0"/>
              <w:autoSpaceDN w:val="0"/>
              <w:adjustRightInd w:val="0"/>
              <w:rPr>
                <w:rFonts w:cs="Arial"/>
                <w:b/>
                <w:sz w:val="18"/>
                <w:szCs w:val="18"/>
                <w:highlight w:val="yellow"/>
                <w:lang w:eastAsia="en-GB"/>
              </w:rPr>
            </w:pPr>
          </w:p>
        </w:tc>
        <w:tc>
          <w:tcPr>
            <w:tcW w:w="1134" w:type="dxa"/>
          </w:tcPr>
          <w:p w14:paraId="02919274" w14:textId="77777777" w:rsidR="00A778CA" w:rsidRPr="005A674A" w:rsidRDefault="00A778CA" w:rsidP="00E24B57">
            <w:pPr>
              <w:autoSpaceDE w:val="0"/>
              <w:autoSpaceDN w:val="0"/>
              <w:adjustRightInd w:val="0"/>
              <w:jc w:val="right"/>
              <w:rPr>
                <w:rFonts w:cs="Arial"/>
                <w:b/>
                <w:sz w:val="18"/>
                <w:szCs w:val="18"/>
                <w:highlight w:val="yellow"/>
                <w:lang w:eastAsia="en-GB"/>
              </w:rPr>
            </w:pPr>
            <w:r w:rsidRPr="005A674A">
              <w:rPr>
                <w:rFonts w:cs="Arial"/>
                <w:b/>
                <w:sz w:val="18"/>
                <w:szCs w:val="18"/>
                <w:lang w:eastAsia="en-GB"/>
              </w:rPr>
              <w:t>0.007</w:t>
            </w:r>
          </w:p>
        </w:tc>
        <w:tc>
          <w:tcPr>
            <w:tcW w:w="993" w:type="dxa"/>
          </w:tcPr>
          <w:p w14:paraId="25AC0FE2" w14:textId="77777777" w:rsidR="00A778CA" w:rsidRPr="005A674A" w:rsidRDefault="00A778CA" w:rsidP="00E24B57">
            <w:pPr>
              <w:autoSpaceDE w:val="0"/>
              <w:autoSpaceDN w:val="0"/>
              <w:adjustRightInd w:val="0"/>
              <w:jc w:val="right"/>
              <w:rPr>
                <w:rFonts w:cs="Arial"/>
                <w:b/>
                <w:sz w:val="18"/>
                <w:szCs w:val="18"/>
                <w:highlight w:val="yellow"/>
                <w:lang w:eastAsia="en-GB"/>
              </w:rPr>
            </w:pPr>
          </w:p>
        </w:tc>
        <w:tc>
          <w:tcPr>
            <w:tcW w:w="992" w:type="dxa"/>
          </w:tcPr>
          <w:p w14:paraId="54EA1D3B" w14:textId="77777777" w:rsidR="00A778CA" w:rsidRPr="005A674A" w:rsidRDefault="00A778CA" w:rsidP="00E24B57">
            <w:pPr>
              <w:autoSpaceDE w:val="0"/>
              <w:autoSpaceDN w:val="0"/>
              <w:adjustRightInd w:val="0"/>
              <w:jc w:val="right"/>
              <w:rPr>
                <w:rFonts w:cs="Arial"/>
                <w:bCs/>
                <w:sz w:val="18"/>
                <w:szCs w:val="18"/>
                <w:lang w:eastAsia="en-GB"/>
              </w:rPr>
            </w:pPr>
            <w:r w:rsidRPr="005A674A">
              <w:rPr>
                <w:rFonts w:cs="Arial"/>
                <w:bCs/>
                <w:sz w:val="18"/>
                <w:szCs w:val="18"/>
                <w:lang w:eastAsia="en-GB"/>
              </w:rPr>
              <w:t>(29.576)</w:t>
            </w:r>
          </w:p>
        </w:tc>
        <w:tc>
          <w:tcPr>
            <w:tcW w:w="1134" w:type="dxa"/>
          </w:tcPr>
          <w:p w14:paraId="34703FE5" w14:textId="77777777" w:rsidR="00A778CA" w:rsidRPr="005A674A" w:rsidRDefault="00A778CA" w:rsidP="00E24B57">
            <w:pPr>
              <w:autoSpaceDE w:val="0"/>
              <w:autoSpaceDN w:val="0"/>
              <w:adjustRightInd w:val="0"/>
              <w:ind w:right="103"/>
              <w:jc w:val="right"/>
              <w:rPr>
                <w:rFonts w:cs="Arial"/>
                <w:bCs/>
                <w:sz w:val="18"/>
                <w:szCs w:val="18"/>
                <w:lang w:eastAsia="en-GB"/>
              </w:rPr>
            </w:pPr>
            <w:r w:rsidRPr="005A674A">
              <w:rPr>
                <w:rFonts w:cs="Arial"/>
                <w:bCs/>
                <w:sz w:val="18"/>
                <w:szCs w:val="18"/>
                <w:lang w:eastAsia="en-GB"/>
              </w:rPr>
              <w:t>(29.569)</w:t>
            </w:r>
          </w:p>
        </w:tc>
      </w:tr>
    </w:tbl>
    <w:p w14:paraId="03D301A3" w14:textId="77777777" w:rsidR="00A778CA" w:rsidRPr="005A674A" w:rsidRDefault="00A778CA" w:rsidP="00A778CA"/>
    <w:p w14:paraId="3DE5BB00" w14:textId="44A0F78B" w:rsidR="00D71065" w:rsidRPr="005A674A" w:rsidRDefault="00943B0B" w:rsidP="00B80634">
      <w:pPr>
        <w:pStyle w:val="ListParagraph"/>
        <w:ind w:left="360"/>
        <w:jc w:val="both"/>
        <w:outlineLvl w:val="1"/>
        <w:rPr>
          <w:rFonts w:cs="Arial"/>
          <w:szCs w:val="24"/>
        </w:rPr>
      </w:pPr>
      <w:r w:rsidRPr="005A674A">
        <w:rPr>
          <w:rFonts w:cs="Arial"/>
          <w:szCs w:val="24"/>
        </w:rPr>
        <w:t xml:space="preserve">Although this was a </w:t>
      </w:r>
      <w:r w:rsidR="00DE48D2" w:rsidRPr="005A674A">
        <w:rPr>
          <w:rFonts w:cs="Arial"/>
          <w:szCs w:val="24"/>
        </w:rPr>
        <w:t xml:space="preserve">very </w:t>
      </w:r>
      <w:r w:rsidRPr="005A674A">
        <w:rPr>
          <w:rFonts w:cs="Arial"/>
          <w:szCs w:val="24"/>
        </w:rPr>
        <w:t xml:space="preserve">large deficit, mostly it was due to changes in legislation </w:t>
      </w:r>
      <w:r w:rsidR="005E41B5" w:rsidRPr="005A674A">
        <w:rPr>
          <w:rFonts w:cs="Arial"/>
          <w:szCs w:val="24"/>
        </w:rPr>
        <w:t xml:space="preserve">and losses </w:t>
      </w:r>
      <w:r w:rsidR="00EA385A" w:rsidRPr="005A674A">
        <w:rPr>
          <w:rFonts w:cs="Arial"/>
          <w:szCs w:val="24"/>
        </w:rPr>
        <w:t xml:space="preserve">directly linked to the </w:t>
      </w:r>
      <w:proofErr w:type="spellStart"/>
      <w:r w:rsidR="00F039F3">
        <w:rPr>
          <w:rFonts w:cs="Arial"/>
          <w:szCs w:val="24"/>
        </w:rPr>
        <w:t>Covid</w:t>
      </w:r>
      <w:proofErr w:type="spellEnd"/>
      <w:r w:rsidR="00F039F3">
        <w:rPr>
          <w:rFonts w:cs="Arial"/>
          <w:szCs w:val="24"/>
        </w:rPr>
        <w:t xml:space="preserve"> 19 </w:t>
      </w:r>
      <w:r w:rsidR="00EA385A" w:rsidRPr="005A674A">
        <w:rPr>
          <w:rFonts w:cs="Arial"/>
          <w:szCs w:val="24"/>
        </w:rPr>
        <w:t xml:space="preserve">pandemic </w:t>
      </w:r>
      <w:r w:rsidRPr="005A674A">
        <w:rPr>
          <w:rFonts w:cs="Arial"/>
          <w:szCs w:val="24"/>
        </w:rPr>
        <w:t>for which Harrow received compensation from Central Governmen</w:t>
      </w:r>
      <w:r w:rsidR="00C45DD9" w:rsidRPr="005A674A">
        <w:rPr>
          <w:rFonts w:cs="Arial"/>
          <w:szCs w:val="24"/>
        </w:rPr>
        <w:t xml:space="preserve">t. </w:t>
      </w:r>
      <w:r w:rsidR="00EA385A" w:rsidRPr="005A674A">
        <w:rPr>
          <w:rFonts w:cs="Arial"/>
          <w:szCs w:val="24"/>
        </w:rPr>
        <w:t>T</w:t>
      </w:r>
      <w:r w:rsidR="005D6C30" w:rsidRPr="005A674A">
        <w:rPr>
          <w:rFonts w:cs="Arial"/>
          <w:szCs w:val="24"/>
        </w:rPr>
        <w:t xml:space="preserve">he </w:t>
      </w:r>
      <w:r w:rsidR="00A83F24" w:rsidRPr="005A674A">
        <w:rPr>
          <w:rFonts w:cs="Arial"/>
          <w:szCs w:val="24"/>
        </w:rPr>
        <w:t xml:space="preserve">LBH share of </w:t>
      </w:r>
      <w:r w:rsidR="005D6C30" w:rsidRPr="005A674A">
        <w:rPr>
          <w:rFonts w:cs="Arial"/>
          <w:szCs w:val="24"/>
        </w:rPr>
        <w:t xml:space="preserve"> the </w:t>
      </w:r>
      <w:r w:rsidR="00A83F24" w:rsidRPr="005A674A">
        <w:rPr>
          <w:rFonts w:cs="Arial"/>
          <w:szCs w:val="24"/>
        </w:rPr>
        <w:t xml:space="preserve">deficit </w:t>
      </w:r>
      <w:r w:rsidR="00391428" w:rsidRPr="005A674A">
        <w:rPr>
          <w:rFonts w:cs="Arial"/>
          <w:szCs w:val="24"/>
        </w:rPr>
        <w:t xml:space="preserve">which needs to be paid </w:t>
      </w:r>
      <w:r w:rsidR="007D4EC7" w:rsidRPr="005A674A">
        <w:rPr>
          <w:rFonts w:cs="Arial"/>
          <w:szCs w:val="24"/>
        </w:rPr>
        <w:t>into the collection fund</w:t>
      </w:r>
      <w:r w:rsidR="00391428" w:rsidRPr="005A674A">
        <w:rPr>
          <w:rFonts w:cs="Arial"/>
          <w:szCs w:val="24"/>
        </w:rPr>
        <w:t xml:space="preserve"> </w:t>
      </w:r>
      <w:r w:rsidR="00EA385A" w:rsidRPr="005A674A">
        <w:rPr>
          <w:rFonts w:cs="Arial"/>
          <w:szCs w:val="24"/>
        </w:rPr>
        <w:t xml:space="preserve">in 2021/22 </w:t>
      </w:r>
      <w:r w:rsidR="00391428" w:rsidRPr="005A674A">
        <w:rPr>
          <w:rFonts w:cs="Arial"/>
          <w:szCs w:val="24"/>
        </w:rPr>
        <w:t>is</w:t>
      </w:r>
      <w:r w:rsidR="00063DD7" w:rsidRPr="005A674A">
        <w:rPr>
          <w:rFonts w:cs="Arial"/>
          <w:szCs w:val="24"/>
        </w:rPr>
        <w:t xml:space="preserve"> however</w:t>
      </w:r>
      <w:r w:rsidR="00391428" w:rsidRPr="005A674A">
        <w:rPr>
          <w:rFonts w:cs="Arial"/>
          <w:szCs w:val="24"/>
        </w:rPr>
        <w:t xml:space="preserve"> not the £8.8</w:t>
      </w:r>
      <w:r w:rsidR="005D6C30" w:rsidRPr="005A674A">
        <w:rPr>
          <w:rFonts w:cs="Arial"/>
          <w:szCs w:val="24"/>
        </w:rPr>
        <w:t>67</w:t>
      </w:r>
      <w:r w:rsidR="00391428" w:rsidRPr="005A674A">
        <w:rPr>
          <w:rFonts w:cs="Arial"/>
          <w:szCs w:val="24"/>
        </w:rPr>
        <w:t xml:space="preserve">m but </w:t>
      </w:r>
      <w:r w:rsidR="006D2053" w:rsidRPr="005A674A">
        <w:rPr>
          <w:rFonts w:cs="Arial"/>
          <w:szCs w:val="24"/>
        </w:rPr>
        <w:t>£8.0</w:t>
      </w:r>
      <w:r w:rsidR="006B2C84" w:rsidRPr="005A674A">
        <w:rPr>
          <w:rFonts w:cs="Arial"/>
          <w:szCs w:val="24"/>
        </w:rPr>
        <w:t>72</w:t>
      </w:r>
      <w:r w:rsidR="006D2053" w:rsidRPr="005A674A">
        <w:rPr>
          <w:rFonts w:cs="Arial"/>
          <w:szCs w:val="24"/>
        </w:rPr>
        <w:t>m</w:t>
      </w:r>
      <w:r w:rsidR="00FD3DE5" w:rsidRPr="005A674A">
        <w:rPr>
          <w:rFonts w:cs="Arial"/>
          <w:szCs w:val="24"/>
        </w:rPr>
        <w:t>, t</w:t>
      </w:r>
      <w:r w:rsidR="006D2053" w:rsidRPr="005A674A">
        <w:rPr>
          <w:rFonts w:cs="Arial"/>
          <w:szCs w:val="24"/>
        </w:rPr>
        <w:t xml:space="preserve">he difference being the </w:t>
      </w:r>
      <w:r w:rsidR="00FD3DE5" w:rsidRPr="005A674A">
        <w:rPr>
          <w:rFonts w:cs="Arial"/>
          <w:szCs w:val="24"/>
        </w:rPr>
        <w:t xml:space="preserve">amount that Harrow is required to spread and pay in future years </w:t>
      </w:r>
      <w:r w:rsidR="00063DD7" w:rsidRPr="005A674A">
        <w:rPr>
          <w:rFonts w:cs="Arial"/>
          <w:szCs w:val="24"/>
        </w:rPr>
        <w:t>(</w:t>
      </w:r>
      <w:r w:rsidR="000C24C2" w:rsidRPr="005A674A">
        <w:rPr>
          <w:rFonts w:cs="Arial"/>
          <w:szCs w:val="24"/>
        </w:rPr>
        <w:t xml:space="preserve">in </w:t>
      </w:r>
      <w:r w:rsidR="00063DD7" w:rsidRPr="005A674A">
        <w:rPr>
          <w:rFonts w:cs="Arial"/>
          <w:szCs w:val="24"/>
        </w:rPr>
        <w:t>relati</w:t>
      </w:r>
      <w:r w:rsidR="008C7EBE" w:rsidRPr="005A674A">
        <w:rPr>
          <w:rFonts w:cs="Arial"/>
          <w:szCs w:val="24"/>
        </w:rPr>
        <w:t>on</w:t>
      </w:r>
      <w:r w:rsidR="00063DD7" w:rsidRPr="005A674A">
        <w:rPr>
          <w:rFonts w:cs="Arial"/>
          <w:szCs w:val="24"/>
        </w:rPr>
        <w:t xml:space="preserve"> to deficits </w:t>
      </w:r>
      <w:r w:rsidR="000C24C2" w:rsidRPr="005A674A">
        <w:rPr>
          <w:rFonts w:cs="Arial"/>
          <w:szCs w:val="24"/>
        </w:rPr>
        <w:t>for</w:t>
      </w:r>
      <w:r w:rsidR="00982A17" w:rsidRPr="005A674A">
        <w:rPr>
          <w:rFonts w:cs="Arial"/>
          <w:szCs w:val="24"/>
        </w:rPr>
        <w:t xml:space="preserve"> the</w:t>
      </w:r>
      <w:r w:rsidR="00063DD7" w:rsidRPr="005A674A">
        <w:rPr>
          <w:rFonts w:cs="Arial"/>
          <w:szCs w:val="24"/>
        </w:rPr>
        <w:t xml:space="preserve"> 2020/21</w:t>
      </w:r>
      <w:r w:rsidR="008C7EBE" w:rsidRPr="005A674A">
        <w:rPr>
          <w:rFonts w:cs="Arial"/>
          <w:szCs w:val="24"/>
        </w:rPr>
        <w:t xml:space="preserve"> financial year only</w:t>
      </w:r>
      <w:r w:rsidR="00982A17" w:rsidRPr="005A674A">
        <w:rPr>
          <w:rFonts w:cs="Arial"/>
          <w:szCs w:val="24"/>
        </w:rPr>
        <w:t>)</w:t>
      </w:r>
      <w:r w:rsidR="00CB2CA6" w:rsidRPr="005A674A">
        <w:rPr>
          <w:rFonts w:cs="Arial"/>
          <w:szCs w:val="24"/>
        </w:rPr>
        <w:t>, and the fact that there was an overall Council Tax surplus last year of £185,627</w:t>
      </w:r>
      <w:r w:rsidR="00D71065" w:rsidRPr="005A674A">
        <w:rPr>
          <w:rFonts w:cs="Arial"/>
          <w:szCs w:val="24"/>
        </w:rPr>
        <w:t xml:space="preserve"> when taking all council tax years into consideration.</w:t>
      </w:r>
    </w:p>
    <w:p w14:paraId="116E26EB" w14:textId="77777777" w:rsidR="00D71065" w:rsidRPr="005A674A" w:rsidRDefault="00D71065" w:rsidP="00B80634">
      <w:pPr>
        <w:pStyle w:val="ListParagraph"/>
        <w:ind w:left="360"/>
        <w:jc w:val="both"/>
        <w:outlineLvl w:val="1"/>
        <w:rPr>
          <w:rFonts w:cs="Arial"/>
          <w:szCs w:val="24"/>
        </w:rPr>
      </w:pPr>
    </w:p>
    <w:p w14:paraId="16C25CE6" w14:textId="13920339" w:rsidR="004803DA" w:rsidRPr="005A674A" w:rsidRDefault="00CA61FE" w:rsidP="00B80634">
      <w:pPr>
        <w:pStyle w:val="ListParagraph"/>
        <w:ind w:left="360"/>
        <w:jc w:val="both"/>
        <w:outlineLvl w:val="1"/>
        <w:rPr>
          <w:rFonts w:cs="Arial"/>
          <w:szCs w:val="24"/>
        </w:rPr>
      </w:pPr>
      <w:r w:rsidRPr="005A674A">
        <w:rPr>
          <w:rFonts w:cs="Arial"/>
          <w:szCs w:val="24"/>
        </w:rPr>
        <w:t xml:space="preserve">The table below sets out the additional compensation monies received and </w:t>
      </w:r>
      <w:r w:rsidR="00E20DA5" w:rsidRPr="005A674A">
        <w:rPr>
          <w:rFonts w:cs="Arial"/>
          <w:szCs w:val="24"/>
        </w:rPr>
        <w:t xml:space="preserve">how they offset the deficit, both regarding the amounts payable </w:t>
      </w:r>
      <w:r w:rsidR="00D71EC4" w:rsidRPr="005A674A">
        <w:rPr>
          <w:rFonts w:cs="Arial"/>
          <w:szCs w:val="24"/>
        </w:rPr>
        <w:t xml:space="preserve">this year </w:t>
      </w:r>
      <w:r w:rsidR="00D71EC4" w:rsidRPr="005A674A">
        <w:rPr>
          <w:rFonts w:cs="Arial"/>
          <w:szCs w:val="24"/>
        </w:rPr>
        <w:lastRenderedPageBreak/>
        <w:t xml:space="preserve">and in future years, </w:t>
      </w:r>
      <w:proofErr w:type="gramStart"/>
      <w:r w:rsidR="00D71EC4" w:rsidRPr="005A674A">
        <w:rPr>
          <w:rFonts w:cs="Arial"/>
          <w:szCs w:val="24"/>
        </w:rPr>
        <w:t>taking into account</w:t>
      </w:r>
      <w:proofErr w:type="gramEnd"/>
      <w:r w:rsidR="00D71EC4" w:rsidRPr="005A674A">
        <w:rPr>
          <w:rFonts w:cs="Arial"/>
          <w:szCs w:val="24"/>
        </w:rPr>
        <w:t xml:space="preserve"> the compulsory spreading o</w:t>
      </w:r>
      <w:r w:rsidR="00913223" w:rsidRPr="005A674A">
        <w:rPr>
          <w:rFonts w:cs="Arial"/>
          <w:szCs w:val="24"/>
        </w:rPr>
        <w:t>f the financial year</w:t>
      </w:r>
      <w:r w:rsidR="00D71EC4" w:rsidRPr="005A674A">
        <w:rPr>
          <w:rFonts w:cs="Arial"/>
          <w:szCs w:val="24"/>
        </w:rPr>
        <w:t xml:space="preserve"> 2020/21 deficits</w:t>
      </w:r>
      <w:r w:rsidR="004803DA" w:rsidRPr="005A674A">
        <w:rPr>
          <w:rFonts w:cs="Arial"/>
          <w:szCs w:val="24"/>
        </w:rPr>
        <w:t xml:space="preserve"> over 3 years.</w:t>
      </w:r>
    </w:p>
    <w:p w14:paraId="7850F3C4" w14:textId="06510B99" w:rsidR="00EC33DB" w:rsidRPr="005A674A" w:rsidRDefault="008C7EBE" w:rsidP="0093331E">
      <w:pPr>
        <w:pStyle w:val="ListParagraph"/>
        <w:ind w:left="360"/>
        <w:outlineLvl w:val="1"/>
        <w:rPr>
          <w:rFonts w:cs="Arial"/>
          <w:szCs w:val="24"/>
        </w:rPr>
      </w:pPr>
      <w:r w:rsidRPr="005A674A">
        <w:rPr>
          <w:rFonts w:cs="Arial"/>
          <w:szCs w:val="24"/>
        </w:rPr>
        <w:t xml:space="preserve"> </w:t>
      </w:r>
    </w:p>
    <w:p w14:paraId="70E752D8" w14:textId="776436E3" w:rsidR="00973548" w:rsidRPr="005A674A" w:rsidRDefault="00034D9B" w:rsidP="00034D9B">
      <w:pPr>
        <w:pStyle w:val="ListParagraph"/>
        <w:ind w:left="360"/>
        <w:outlineLvl w:val="1"/>
      </w:pPr>
      <w:r w:rsidRPr="005A674A">
        <w:rPr>
          <w:rFonts w:cs="Arial"/>
          <w:szCs w:val="24"/>
        </w:rPr>
        <w:t>Table 1a</w:t>
      </w:r>
      <w:bookmarkStart w:id="1" w:name="_Hlk88729214"/>
      <w:r w:rsidR="00E339F6" w:rsidRPr="005A674A">
        <w:tab/>
      </w:r>
    </w:p>
    <w:tbl>
      <w:tblPr>
        <w:tblStyle w:val="TableGrid"/>
        <w:tblW w:w="7938" w:type="dxa"/>
        <w:tblInd w:w="421" w:type="dxa"/>
        <w:tblLook w:val="04A0" w:firstRow="1" w:lastRow="0" w:firstColumn="1" w:lastColumn="0" w:noHBand="0" w:noVBand="1"/>
      </w:tblPr>
      <w:tblGrid>
        <w:gridCol w:w="3969"/>
        <w:gridCol w:w="1134"/>
        <w:gridCol w:w="1559"/>
        <w:gridCol w:w="1276"/>
      </w:tblGrid>
      <w:tr w:rsidR="005A674A" w:rsidRPr="005A674A" w14:paraId="74A69D36" w14:textId="77777777" w:rsidTr="006D6A5B">
        <w:tc>
          <w:tcPr>
            <w:tcW w:w="3969" w:type="dxa"/>
            <w:shd w:val="clear" w:color="auto" w:fill="D9D9D9" w:themeFill="background1" w:themeFillShade="D9"/>
          </w:tcPr>
          <w:p w14:paraId="7820CAFE" w14:textId="3D429876" w:rsidR="006D6A5B" w:rsidRPr="005A674A" w:rsidRDefault="006D6A5B" w:rsidP="00D448B5">
            <w:r w:rsidRPr="005A674A">
              <w:t>Collection Fund Liabilities re 2020/21</w:t>
            </w:r>
          </w:p>
          <w:p w14:paraId="02DA4374" w14:textId="2D9BB56B" w:rsidR="006D6A5B" w:rsidRPr="005A674A" w:rsidRDefault="006D6A5B" w:rsidP="00D448B5">
            <w:r w:rsidRPr="005A674A">
              <w:rPr>
                <w:rFonts w:cs="Arial"/>
                <w:sz w:val="18"/>
                <w:szCs w:val="18"/>
              </w:rPr>
              <w:t xml:space="preserve">To be paid into Collection Fund to cover Harrow’s share of the deficit of £8.867m in 2021/22 </w:t>
            </w:r>
            <w:proofErr w:type="gramStart"/>
            <w:r w:rsidRPr="005A674A">
              <w:rPr>
                <w:rFonts w:cs="Arial"/>
                <w:sz w:val="18"/>
                <w:szCs w:val="18"/>
              </w:rPr>
              <w:t>taking into account</w:t>
            </w:r>
            <w:proofErr w:type="gramEnd"/>
            <w:r w:rsidRPr="005A674A">
              <w:rPr>
                <w:rFonts w:cs="Arial"/>
                <w:sz w:val="18"/>
                <w:szCs w:val="18"/>
              </w:rPr>
              <w:t xml:space="preserve"> mandatory spreading</w:t>
            </w:r>
          </w:p>
        </w:tc>
        <w:tc>
          <w:tcPr>
            <w:tcW w:w="1134" w:type="dxa"/>
            <w:shd w:val="clear" w:color="auto" w:fill="D9D9D9" w:themeFill="background1" w:themeFillShade="D9"/>
          </w:tcPr>
          <w:p w14:paraId="0A5A759D" w14:textId="269A6BA2" w:rsidR="006D6A5B" w:rsidRPr="005A674A" w:rsidRDefault="006D6A5B" w:rsidP="00D448B5">
            <w:pPr>
              <w:rPr>
                <w:sz w:val="20"/>
              </w:rPr>
            </w:pPr>
            <w:r w:rsidRPr="005A674A">
              <w:rPr>
                <w:sz w:val="20"/>
              </w:rPr>
              <w:t>2020/21 Cabinet Report Figures</w:t>
            </w:r>
          </w:p>
        </w:tc>
        <w:tc>
          <w:tcPr>
            <w:tcW w:w="1559" w:type="dxa"/>
            <w:shd w:val="clear" w:color="auto" w:fill="D9D9D9" w:themeFill="background1" w:themeFillShade="D9"/>
          </w:tcPr>
          <w:p w14:paraId="4B5EAB8E" w14:textId="4D683AE1" w:rsidR="006D6A5B" w:rsidRPr="005A674A" w:rsidRDefault="006D6A5B" w:rsidP="00D448B5">
            <w:pPr>
              <w:rPr>
                <w:sz w:val="20"/>
              </w:rPr>
            </w:pPr>
            <w:r w:rsidRPr="005A674A">
              <w:rPr>
                <w:sz w:val="20"/>
              </w:rPr>
              <w:t>Less spreading adjustment</w:t>
            </w:r>
          </w:p>
        </w:tc>
        <w:tc>
          <w:tcPr>
            <w:tcW w:w="1276" w:type="dxa"/>
            <w:shd w:val="clear" w:color="auto" w:fill="D9D9D9" w:themeFill="background1" w:themeFillShade="D9"/>
          </w:tcPr>
          <w:p w14:paraId="2C3E7F4E" w14:textId="1333AFC3" w:rsidR="006D6A5B" w:rsidRPr="005A674A" w:rsidRDefault="006D6A5B" w:rsidP="00D448B5">
            <w:pPr>
              <w:rPr>
                <w:sz w:val="20"/>
              </w:rPr>
            </w:pPr>
            <w:r w:rsidRPr="005A674A">
              <w:rPr>
                <w:sz w:val="20"/>
              </w:rPr>
              <w:t>To be paid into collection fund in 2021/22</w:t>
            </w:r>
          </w:p>
        </w:tc>
      </w:tr>
      <w:tr w:rsidR="005A674A" w:rsidRPr="005A674A" w14:paraId="2CD4D4E8" w14:textId="77777777" w:rsidTr="006D6A5B">
        <w:tc>
          <w:tcPr>
            <w:tcW w:w="3969" w:type="dxa"/>
            <w:shd w:val="clear" w:color="auto" w:fill="D9D9D9" w:themeFill="background1" w:themeFillShade="D9"/>
          </w:tcPr>
          <w:p w14:paraId="1A7843C0" w14:textId="64D23E03" w:rsidR="006D6A5B" w:rsidRPr="005A674A" w:rsidRDefault="006D6A5B" w:rsidP="00D448B5">
            <w:pPr>
              <w:rPr>
                <w:rFonts w:cs="Arial"/>
                <w:sz w:val="18"/>
                <w:szCs w:val="18"/>
              </w:rPr>
            </w:pPr>
            <w:r w:rsidRPr="005A674A">
              <w:rPr>
                <w:rFonts w:cs="Arial"/>
                <w:sz w:val="18"/>
                <w:szCs w:val="18"/>
              </w:rPr>
              <w:t xml:space="preserve">NDR – Deficit as per last </w:t>
            </w:r>
            <w:proofErr w:type="spellStart"/>
            <w:r w:rsidRPr="005A674A">
              <w:rPr>
                <w:rFonts w:cs="Arial"/>
                <w:sz w:val="18"/>
                <w:szCs w:val="18"/>
              </w:rPr>
              <w:t>years</w:t>
            </w:r>
            <w:proofErr w:type="spellEnd"/>
            <w:r w:rsidRPr="005A674A">
              <w:rPr>
                <w:rFonts w:cs="Arial"/>
                <w:sz w:val="18"/>
                <w:szCs w:val="18"/>
              </w:rPr>
              <w:t xml:space="preserve"> Cabinet report</w:t>
            </w:r>
          </w:p>
        </w:tc>
        <w:tc>
          <w:tcPr>
            <w:tcW w:w="1134" w:type="dxa"/>
          </w:tcPr>
          <w:p w14:paraId="12CBD207" w14:textId="5A8B7247" w:rsidR="006D6A5B" w:rsidRPr="005A674A" w:rsidRDefault="006D6A5B" w:rsidP="000D7013">
            <w:pPr>
              <w:jc w:val="right"/>
              <w:rPr>
                <w:sz w:val="20"/>
              </w:rPr>
            </w:pPr>
            <w:r w:rsidRPr="005A674A">
              <w:rPr>
                <w:sz w:val="20"/>
              </w:rPr>
              <w:t>8,868,633</w:t>
            </w:r>
          </w:p>
        </w:tc>
        <w:tc>
          <w:tcPr>
            <w:tcW w:w="1559" w:type="dxa"/>
          </w:tcPr>
          <w:p w14:paraId="30450FA4" w14:textId="54F1BD02" w:rsidR="006D6A5B" w:rsidRPr="005A674A" w:rsidRDefault="006D6A5B" w:rsidP="000D7013">
            <w:pPr>
              <w:jc w:val="right"/>
              <w:rPr>
                <w:sz w:val="20"/>
              </w:rPr>
            </w:pPr>
            <w:r w:rsidRPr="005A674A">
              <w:rPr>
                <w:sz w:val="20"/>
              </w:rPr>
              <w:t>-600,414</w:t>
            </w:r>
          </w:p>
        </w:tc>
        <w:tc>
          <w:tcPr>
            <w:tcW w:w="1276" w:type="dxa"/>
            <w:shd w:val="clear" w:color="auto" w:fill="FFFFFF" w:themeFill="background1"/>
          </w:tcPr>
          <w:p w14:paraId="15CB219A" w14:textId="78D3A1F0" w:rsidR="006D6A5B" w:rsidRPr="005A674A" w:rsidRDefault="006D6A5B" w:rsidP="000D7013">
            <w:pPr>
              <w:jc w:val="right"/>
              <w:rPr>
                <w:sz w:val="20"/>
              </w:rPr>
            </w:pPr>
            <w:r w:rsidRPr="005A674A">
              <w:rPr>
                <w:sz w:val="20"/>
              </w:rPr>
              <w:t>£8,268,219</w:t>
            </w:r>
          </w:p>
        </w:tc>
      </w:tr>
      <w:tr w:rsidR="005A674A" w:rsidRPr="005A674A" w14:paraId="1711A2B4" w14:textId="77777777" w:rsidTr="006D6A5B">
        <w:tc>
          <w:tcPr>
            <w:tcW w:w="3969" w:type="dxa"/>
            <w:shd w:val="clear" w:color="auto" w:fill="D9D9D9" w:themeFill="background1" w:themeFillShade="D9"/>
          </w:tcPr>
          <w:p w14:paraId="6DE9CF2E" w14:textId="06222D02" w:rsidR="006D6A5B" w:rsidRPr="005A674A" w:rsidRDefault="006D6A5B" w:rsidP="00764415">
            <w:pPr>
              <w:pStyle w:val="ListParagraph"/>
              <w:ind w:left="0"/>
              <w:outlineLvl w:val="1"/>
              <w:rPr>
                <w:rFonts w:cs="Arial"/>
                <w:sz w:val="18"/>
                <w:szCs w:val="18"/>
              </w:rPr>
            </w:pPr>
            <w:r w:rsidRPr="005A674A">
              <w:rPr>
                <w:rFonts w:cs="Arial"/>
                <w:sz w:val="18"/>
                <w:szCs w:val="18"/>
              </w:rPr>
              <w:t xml:space="preserve">CTAX – Surplus as per last </w:t>
            </w:r>
            <w:proofErr w:type="spellStart"/>
            <w:r w:rsidRPr="005A674A">
              <w:rPr>
                <w:rFonts w:cs="Arial"/>
                <w:sz w:val="18"/>
                <w:szCs w:val="18"/>
              </w:rPr>
              <w:t>years</w:t>
            </w:r>
            <w:proofErr w:type="spellEnd"/>
            <w:r w:rsidRPr="005A674A">
              <w:rPr>
                <w:rFonts w:cs="Arial"/>
                <w:sz w:val="18"/>
                <w:szCs w:val="18"/>
              </w:rPr>
              <w:t xml:space="preserve"> Cabinet report</w:t>
            </w:r>
          </w:p>
        </w:tc>
        <w:tc>
          <w:tcPr>
            <w:tcW w:w="1134" w:type="dxa"/>
          </w:tcPr>
          <w:p w14:paraId="3DBDF898" w14:textId="76CA1886" w:rsidR="006D6A5B" w:rsidRPr="005A674A" w:rsidRDefault="006D6A5B" w:rsidP="000D7013">
            <w:pPr>
              <w:jc w:val="right"/>
              <w:rPr>
                <w:sz w:val="20"/>
              </w:rPr>
            </w:pPr>
            <w:r w:rsidRPr="005A674A">
              <w:rPr>
                <w:sz w:val="20"/>
              </w:rPr>
              <w:t xml:space="preserve">     -5,448</w:t>
            </w:r>
          </w:p>
        </w:tc>
        <w:tc>
          <w:tcPr>
            <w:tcW w:w="1559" w:type="dxa"/>
          </w:tcPr>
          <w:p w14:paraId="3BF6B3D0" w14:textId="7F16AF57" w:rsidR="006D6A5B" w:rsidRPr="005A674A" w:rsidRDefault="006D6A5B" w:rsidP="000D7013">
            <w:pPr>
              <w:jc w:val="right"/>
              <w:rPr>
                <w:sz w:val="20"/>
              </w:rPr>
            </w:pPr>
            <w:r w:rsidRPr="005A674A">
              <w:rPr>
                <w:sz w:val="20"/>
              </w:rPr>
              <w:t>-180,180</w:t>
            </w:r>
          </w:p>
        </w:tc>
        <w:tc>
          <w:tcPr>
            <w:tcW w:w="1276" w:type="dxa"/>
            <w:shd w:val="clear" w:color="auto" w:fill="FFFFFF" w:themeFill="background1"/>
          </w:tcPr>
          <w:p w14:paraId="471BF84E" w14:textId="39472142" w:rsidR="006D6A5B" w:rsidRPr="005A674A" w:rsidRDefault="006D6A5B" w:rsidP="000D7013">
            <w:pPr>
              <w:jc w:val="right"/>
              <w:rPr>
                <w:sz w:val="20"/>
              </w:rPr>
            </w:pPr>
            <w:r w:rsidRPr="005A674A">
              <w:rPr>
                <w:sz w:val="20"/>
              </w:rPr>
              <w:t>-£185,628</w:t>
            </w:r>
          </w:p>
        </w:tc>
      </w:tr>
      <w:tr w:rsidR="005A674A" w:rsidRPr="005A674A" w14:paraId="4BF73EBD" w14:textId="77777777" w:rsidTr="006D6A5B">
        <w:trPr>
          <w:trHeight w:val="353"/>
        </w:trPr>
        <w:tc>
          <w:tcPr>
            <w:tcW w:w="3969" w:type="dxa"/>
            <w:shd w:val="clear" w:color="auto" w:fill="D9D9D9" w:themeFill="background1" w:themeFillShade="D9"/>
          </w:tcPr>
          <w:p w14:paraId="3700D977" w14:textId="77777777" w:rsidR="006D6A5B" w:rsidRPr="005A674A" w:rsidRDefault="006D6A5B" w:rsidP="00764415">
            <w:pPr>
              <w:pStyle w:val="ListParagraph"/>
              <w:ind w:left="0"/>
              <w:outlineLvl w:val="1"/>
              <w:rPr>
                <w:rFonts w:cs="Arial"/>
                <w:sz w:val="18"/>
                <w:szCs w:val="18"/>
              </w:rPr>
            </w:pPr>
          </w:p>
        </w:tc>
        <w:tc>
          <w:tcPr>
            <w:tcW w:w="1134" w:type="dxa"/>
          </w:tcPr>
          <w:p w14:paraId="36A3814C" w14:textId="77777777" w:rsidR="006D6A5B" w:rsidRPr="005A674A" w:rsidRDefault="006D6A5B" w:rsidP="000D7013">
            <w:pPr>
              <w:jc w:val="right"/>
              <w:rPr>
                <w:sz w:val="20"/>
              </w:rPr>
            </w:pPr>
          </w:p>
        </w:tc>
        <w:tc>
          <w:tcPr>
            <w:tcW w:w="1559" w:type="dxa"/>
          </w:tcPr>
          <w:p w14:paraId="39A41CFF" w14:textId="77777777" w:rsidR="006D6A5B" w:rsidRPr="005A674A" w:rsidRDefault="006D6A5B" w:rsidP="000D7013">
            <w:pPr>
              <w:jc w:val="right"/>
              <w:rPr>
                <w:sz w:val="20"/>
              </w:rPr>
            </w:pPr>
          </w:p>
        </w:tc>
        <w:tc>
          <w:tcPr>
            <w:tcW w:w="1276" w:type="dxa"/>
            <w:shd w:val="clear" w:color="auto" w:fill="FFFFFF" w:themeFill="background1"/>
          </w:tcPr>
          <w:p w14:paraId="5F5B4873" w14:textId="77777777" w:rsidR="006D6A5B" w:rsidRPr="005A674A" w:rsidRDefault="006D6A5B" w:rsidP="000D7013">
            <w:pPr>
              <w:jc w:val="right"/>
              <w:rPr>
                <w:sz w:val="20"/>
              </w:rPr>
            </w:pPr>
          </w:p>
        </w:tc>
      </w:tr>
      <w:tr w:rsidR="005A674A" w:rsidRPr="005A674A" w14:paraId="1CC718F3" w14:textId="77777777" w:rsidTr="006D6A5B">
        <w:tc>
          <w:tcPr>
            <w:tcW w:w="3969" w:type="dxa"/>
            <w:shd w:val="clear" w:color="auto" w:fill="D9D9D9" w:themeFill="background1" w:themeFillShade="D9"/>
          </w:tcPr>
          <w:p w14:paraId="1A55AEFF" w14:textId="02751283" w:rsidR="006D6A5B" w:rsidRPr="005A674A" w:rsidRDefault="006D6A5B" w:rsidP="00764415">
            <w:pPr>
              <w:pStyle w:val="ListParagraph"/>
              <w:ind w:left="0"/>
              <w:outlineLvl w:val="1"/>
              <w:rPr>
                <w:rFonts w:cs="Arial"/>
                <w:sz w:val="18"/>
                <w:szCs w:val="18"/>
              </w:rPr>
            </w:pPr>
            <w:r w:rsidRPr="005A674A">
              <w:rPr>
                <w:rFonts w:cs="Arial"/>
                <w:sz w:val="18"/>
                <w:szCs w:val="18"/>
              </w:rPr>
              <w:t>Total</w:t>
            </w:r>
          </w:p>
        </w:tc>
        <w:tc>
          <w:tcPr>
            <w:tcW w:w="1134" w:type="dxa"/>
          </w:tcPr>
          <w:p w14:paraId="64271F36" w14:textId="1FC5193D" w:rsidR="006D6A5B" w:rsidRPr="005A674A" w:rsidRDefault="006D6A5B" w:rsidP="000D7013">
            <w:pPr>
              <w:jc w:val="right"/>
              <w:rPr>
                <w:sz w:val="20"/>
              </w:rPr>
            </w:pPr>
          </w:p>
        </w:tc>
        <w:tc>
          <w:tcPr>
            <w:tcW w:w="1559" w:type="dxa"/>
          </w:tcPr>
          <w:p w14:paraId="4BE54BC2" w14:textId="1B74A6B3" w:rsidR="006D6A5B" w:rsidRPr="005A674A" w:rsidRDefault="006D6A5B" w:rsidP="000D7013">
            <w:pPr>
              <w:jc w:val="right"/>
              <w:rPr>
                <w:sz w:val="20"/>
              </w:rPr>
            </w:pPr>
          </w:p>
        </w:tc>
        <w:tc>
          <w:tcPr>
            <w:tcW w:w="1276" w:type="dxa"/>
            <w:shd w:val="clear" w:color="auto" w:fill="FFFFFF" w:themeFill="background1"/>
          </w:tcPr>
          <w:p w14:paraId="085AC1BD" w14:textId="11EFD83C" w:rsidR="006D6A5B" w:rsidRPr="005A674A" w:rsidRDefault="006D6A5B" w:rsidP="00901D31">
            <w:pPr>
              <w:jc w:val="right"/>
              <w:rPr>
                <w:b/>
                <w:bCs/>
                <w:sz w:val="20"/>
              </w:rPr>
            </w:pPr>
            <w:r w:rsidRPr="005A674A">
              <w:rPr>
                <w:b/>
                <w:bCs/>
                <w:sz w:val="20"/>
              </w:rPr>
              <w:t>£8,082,591</w:t>
            </w:r>
          </w:p>
        </w:tc>
      </w:tr>
    </w:tbl>
    <w:p w14:paraId="51DEBEE2" w14:textId="3EB5A0ED" w:rsidR="00973548" w:rsidRPr="005A674A" w:rsidRDefault="00973548" w:rsidP="00D448B5"/>
    <w:p w14:paraId="28A92039" w14:textId="68965F04" w:rsidR="00971349" w:rsidRPr="005A674A" w:rsidRDefault="00034D9B" w:rsidP="004F090E">
      <w:pPr>
        <w:ind w:left="360"/>
      </w:pPr>
      <w:r w:rsidRPr="005A674A">
        <w:t>Table 1b</w:t>
      </w:r>
    </w:p>
    <w:tbl>
      <w:tblPr>
        <w:tblStyle w:val="TableGrid"/>
        <w:tblW w:w="0" w:type="auto"/>
        <w:tblInd w:w="421" w:type="dxa"/>
        <w:tblLook w:val="04A0" w:firstRow="1" w:lastRow="0" w:firstColumn="1" w:lastColumn="0" w:noHBand="0" w:noVBand="1"/>
      </w:tblPr>
      <w:tblGrid>
        <w:gridCol w:w="2089"/>
        <w:gridCol w:w="1546"/>
        <w:gridCol w:w="1557"/>
        <w:gridCol w:w="1337"/>
        <w:gridCol w:w="1349"/>
      </w:tblGrid>
      <w:tr w:rsidR="005A674A" w:rsidRPr="005A674A" w14:paraId="58C722BE" w14:textId="77777777" w:rsidTr="00ED5A43">
        <w:tc>
          <w:tcPr>
            <w:tcW w:w="2089" w:type="dxa"/>
            <w:shd w:val="clear" w:color="auto" w:fill="D9D9D9" w:themeFill="background1" w:themeFillShade="D9"/>
          </w:tcPr>
          <w:p w14:paraId="06AA92EA" w14:textId="493ED844" w:rsidR="00971349" w:rsidRPr="005A674A" w:rsidRDefault="00971349" w:rsidP="006E6C2D">
            <w:pPr>
              <w:rPr>
                <w:sz w:val="20"/>
              </w:rPr>
            </w:pPr>
            <w:r w:rsidRPr="005A674A">
              <w:rPr>
                <w:sz w:val="20"/>
              </w:rPr>
              <w:t>Reserves- Additional Income received from Central Gov to cover 2020/21 deficit</w:t>
            </w:r>
          </w:p>
        </w:tc>
        <w:tc>
          <w:tcPr>
            <w:tcW w:w="1546" w:type="dxa"/>
            <w:shd w:val="clear" w:color="auto" w:fill="D9D9D9" w:themeFill="background1" w:themeFillShade="D9"/>
          </w:tcPr>
          <w:p w14:paraId="58D2C09F" w14:textId="77777777" w:rsidR="00971349" w:rsidRPr="005A674A" w:rsidRDefault="00971349" w:rsidP="006E6C2D">
            <w:r w:rsidRPr="005A674A">
              <w:rPr>
                <w:sz w:val="18"/>
                <w:szCs w:val="18"/>
              </w:rPr>
              <w:t>Balance of S31 Grant to offset losses due to retail relief</w:t>
            </w:r>
          </w:p>
        </w:tc>
        <w:tc>
          <w:tcPr>
            <w:tcW w:w="1557" w:type="dxa"/>
            <w:shd w:val="clear" w:color="auto" w:fill="D9D9D9" w:themeFill="background1" w:themeFillShade="D9"/>
          </w:tcPr>
          <w:p w14:paraId="283474A5" w14:textId="77777777" w:rsidR="00971349" w:rsidRPr="005A674A" w:rsidRDefault="00971349" w:rsidP="006E6C2D">
            <w:r w:rsidRPr="005A674A">
              <w:rPr>
                <w:sz w:val="18"/>
                <w:szCs w:val="18"/>
              </w:rPr>
              <w:t xml:space="preserve">TIG (total income compensation) scheme for loss of </w:t>
            </w:r>
            <w:proofErr w:type="spellStart"/>
            <w:r w:rsidRPr="005A674A">
              <w:rPr>
                <w:sz w:val="18"/>
                <w:szCs w:val="18"/>
              </w:rPr>
              <w:t>Ctax</w:t>
            </w:r>
            <w:proofErr w:type="spellEnd"/>
          </w:p>
        </w:tc>
        <w:tc>
          <w:tcPr>
            <w:tcW w:w="1337" w:type="dxa"/>
            <w:shd w:val="clear" w:color="auto" w:fill="D9D9D9" w:themeFill="background1" w:themeFillShade="D9"/>
          </w:tcPr>
          <w:p w14:paraId="7F6BB275" w14:textId="77777777" w:rsidR="00971349" w:rsidRPr="005A674A" w:rsidRDefault="00971349" w:rsidP="006E6C2D">
            <w:r w:rsidRPr="005A674A">
              <w:rPr>
                <w:sz w:val="18"/>
                <w:szCs w:val="18"/>
              </w:rPr>
              <w:t>TIG compensation scheme for Loss of NDR</w:t>
            </w:r>
          </w:p>
        </w:tc>
        <w:tc>
          <w:tcPr>
            <w:tcW w:w="1349" w:type="dxa"/>
            <w:shd w:val="clear" w:color="auto" w:fill="D9D9D9" w:themeFill="background1" w:themeFillShade="D9"/>
          </w:tcPr>
          <w:p w14:paraId="61AA2E82" w14:textId="77777777" w:rsidR="00971349" w:rsidRPr="005A674A" w:rsidRDefault="00971349" w:rsidP="006E6C2D">
            <w:pPr>
              <w:rPr>
                <w:sz w:val="20"/>
              </w:rPr>
            </w:pPr>
            <w:r w:rsidRPr="005A674A">
              <w:rPr>
                <w:rFonts w:cs="Arial"/>
                <w:sz w:val="20"/>
              </w:rPr>
              <w:t>Running totals</w:t>
            </w:r>
          </w:p>
        </w:tc>
      </w:tr>
      <w:tr w:rsidR="005A674A" w:rsidRPr="005A674A" w14:paraId="49B31DB7" w14:textId="77777777" w:rsidTr="00ED5A43">
        <w:tc>
          <w:tcPr>
            <w:tcW w:w="2089" w:type="dxa"/>
            <w:shd w:val="clear" w:color="auto" w:fill="D9D9D9" w:themeFill="background1" w:themeFillShade="D9"/>
          </w:tcPr>
          <w:p w14:paraId="6A8CB3FA" w14:textId="51B1B438" w:rsidR="00971349" w:rsidRPr="005A674A" w:rsidRDefault="00971349" w:rsidP="006E6C2D"/>
        </w:tc>
        <w:tc>
          <w:tcPr>
            <w:tcW w:w="1546" w:type="dxa"/>
          </w:tcPr>
          <w:p w14:paraId="32E17FAC" w14:textId="77777777" w:rsidR="00971349" w:rsidRPr="005A674A" w:rsidRDefault="00971349" w:rsidP="006E6C2D">
            <w:pPr>
              <w:rPr>
                <w:sz w:val="20"/>
              </w:rPr>
            </w:pPr>
            <w:r w:rsidRPr="005A674A">
              <w:rPr>
                <w:sz w:val="20"/>
              </w:rPr>
              <w:t>£8,069,938</w:t>
            </w:r>
          </w:p>
        </w:tc>
        <w:tc>
          <w:tcPr>
            <w:tcW w:w="1557" w:type="dxa"/>
          </w:tcPr>
          <w:p w14:paraId="0FEBBB02" w14:textId="77777777" w:rsidR="00971349" w:rsidRPr="005A674A" w:rsidRDefault="00971349" w:rsidP="006E6C2D">
            <w:pPr>
              <w:rPr>
                <w:sz w:val="20"/>
              </w:rPr>
            </w:pPr>
            <w:r w:rsidRPr="005A674A">
              <w:rPr>
                <w:sz w:val="20"/>
              </w:rPr>
              <w:t>£398,960</w:t>
            </w:r>
          </w:p>
        </w:tc>
        <w:tc>
          <w:tcPr>
            <w:tcW w:w="1337" w:type="dxa"/>
          </w:tcPr>
          <w:p w14:paraId="6172072D" w14:textId="77777777" w:rsidR="00971349" w:rsidRPr="005A674A" w:rsidRDefault="00971349" w:rsidP="006E6C2D">
            <w:pPr>
              <w:rPr>
                <w:sz w:val="20"/>
              </w:rPr>
            </w:pPr>
            <w:r w:rsidRPr="005A674A">
              <w:rPr>
                <w:sz w:val="20"/>
              </w:rPr>
              <w:t>£455,955</w:t>
            </w:r>
          </w:p>
        </w:tc>
        <w:tc>
          <w:tcPr>
            <w:tcW w:w="1349" w:type="dxa"/>
            <w:shd w:val="clear" w:color="auto" w:fill="FFFFFF" w:themeFill="background1"/>
          </w:tcPr>
          <w:p w14:paraId="6E8A462D" w14:textId="77777777" w:rsidR="00971349" w:rsidRPr="005A674A" w:rsidRDefault="00971349" w:rsidP="006E6C2D">
            <w:pPr>
              <w:rPr>
                <w:b/>
                <w:bCs/>
                <w:sz w:val="20"/>
              </w:rPr>
            </w:pPr>
            <w:r w:rsidRPr="005A674A">
              <w:rPr>
                <w:b/>
                <w:bCs/>
                <w:sz w:val="20"/>
              </w:rPr>
              <w:t>-£8,924,853</w:t>
            </w:r>
          </w:p>
        </w:tc>
      </w:tr>
      <w:tr w:rsidR="005A674A" w:rsidRPr="005A674A" w14:paraId="4961AE32" w14:textId="77777777" w:rsidTr="00ED5A43">
        <w:tc>
          <w:tcPr>
            <w:tcW w:w="2089" w:type="dxa"/>
            <w:shd w:val="clear" w:color="auto" w:fill="D9D9D9" w:themeFill="background1" w:themeFillShade="D9"/>
          </w:tcPr>
          <w:p w14:paraId="3C9C09B6" w14:textId="3DE763E2" w:rsidR="00C30433" w:rsidRPr="005A674A" w:rsidRDefault="0002498F" w:rsidP="006E6C2D">
            <w:pPr>
              <w:rPr>
                <w:sz w:val="18"/>
                <w:szCs w:val="18"/>
              </w:rPr>
            </w:pPr>
            <w:r w:rsidRPr="005A674A">
              <w:rPr>
                <w:sz w:val="18"/>
                <w:szCs w:val="18"/>
              </w:rPr>
              <w:t>Less Payment to collection fund 2021/22</w:t>
            </w:r>
          </w:p>
        </w:tc>
        <w:tc>
          <w:tcPr>
            <w:tcW w:w="1546" w:type="dxa"/>
          </w:tcPr>
          <w:p w14:paraId="492D50F3" w14:textId="77777777" w:rsidR="00C30433" w:rsidRPr="005A674A" w:rsidRDefault="00C30433" w:rsidP="006E6C2D">
            <w:pPr>
              <w:rPr>
                <w:sz w:val="20"/>
              </w:rPr>
            </w:pPr>
          </w:p>
        </w:tc>
        <w:tc>
          <w:tcPr>
            <w:tcW w:w="1557" w:type="dxa"/>
          </w:tcPr>
          <w:p w14:paraId="6A875F34" w14:textId="77777777" w:rsidR="00C30433" w:rsidRPr="005A674A" w:rsidRDefault="00C30433" w:rsidP="006E6C2D">
            <w:pPr>
              <w:rPr>
                <w:sz w:val="20"/>
              </w:rPr>
            </w:pPr>
          </w:p>
        </w:tc>
        <w:tc>
          <w:tcPr>
            <w:tcW w:w="1337" w:type="dxa"/>
          </w:tcPr>
          <w:p w14:paraId="665C416E" w14:textId="77777777" w:rsidR="00C30433" w:rsidRPr="005A674A" w:rsidRDefault="00C30433" w:rsidP="006E6C2D">
            <w:pPr>
              <w:rPr>
                <w:sz w:val="20"/>
              </w:rPr>
            </w:pPr>
          </w:p>
        </w:tc>
        <w:tc>
          <w:tcPr>
            <w:tcW w:w="1349" w:type="dxa"/>
            <w:shd w:val="clear" w:color="auto" w:fill="FFFFFF" w:themeFill="background1"/>
          </w:tcPr>
          <w:p w14:paraId="7C46F63E" w14:textId="1298EAE2" w:rsidR="00C30433" w:rsidRPr="005A674A" w:rsidRDefault="0002498F" w:rsidP="006E6C2D">
            <w:pPr>
              <w:rPr>
                <w:sz w:val="20"/>
              </w:rPr>
            </w:pPr>
            <w:r w:rsidRPr="005A674A">
              <w:rPr>
                <w:sz w:val="20"/>
              </w:rPr>
              <w:t>£8,</w:t>
            </w:r>
            <w:r w:rsidR="00696955" w:rsidRPr="005A674A">
              <w:rPr>
                <w:sz w:val="20"/>
              </w:rPr>
              <w:t>082,591</w:t>
            </w:r>
          </w:p>
        </w:tc>
      </w:tr>
      <w:tr w:rsidR="005A674A" w:rsidRPr="005A674A" w14:paraId="645A74A3" w14:textId="77777777" w:rsidTr="00ED5A43">
        <w:tc>
          <w:tcPr>
            <w:tcW w:w="2089" w:type="dxa"/>
            <w:shd w:val="clear" w:color="auto" w:fill="D9D9D9" w:themeFill="background1" w:themeFillShade="D9"/>
          </w:tcPr>
          <w:p w14:paraId="73A7C518" w14:textId="56D637D0" w:rsidR="00C30433" w:rsidRPr="005A674A" w:rsidRDefault="00696955" w:rsidP="006E6C2D">
            <w:pPr>
              <w:rPr>
                <w:sz w:val="18"/>
                <w:szCs w:val="18"/>
              </w:rPr>
            </w:pPr>
            <w:r w:rsidRPr="005A674A">
              <w:rPr>
                <w:rFonts w:cs="Arial"/>
                <w:sz w:val="18"/>
                <w:szCs w:val="18"/>
              </w:rPr>
              <w:t>Reserves balance c/</w:t>
            </w:r>
            <w:proofErr w:type="spellStart"/>
            <w:r w:rsidRPr="005A674A">
              <w:rPr>
                <w:rFonts w:cs="Arial"/>
                <w:sz w:val="18"/>
                <w:szCs w:val="18"/>
              </w:rPr>
              <w:t>fwd</w:t>
            </w:r>
            <w:proofErr w:type="spellEnd"/>
            <w:r w:rsidRPr="005A674A">
              <w:rPr>
                <w:rFonts w:cs="Arial"/>
                <w:sz w:val="18"/>
                <w:szCs w:val="18"/>
              </w:rPr>
              <w:t xml:space="preserve"> as required to clear </w:t>
            </w:r>
            <w:r w:rsidR="00236480" w:rsidRPr="005A674A">
              <w:rPr>
                <w:rFonts w:cs="Arial"/>
                <w:sz w:val="18"/>
                <w:szCs w:val="18"/>
              </w:rPr>
              <w:t xml:space="preserve">deficit </w:t>
            </w:r>
            <w:r w:rsidRPr="005A674A">
              <w:rPr>
                <w:rFonts w:cs="Arial"/>
                <w:sz w:val="18"/>
                <w:szCs w:val="18"/>
              </w:rPr>
              <w:t>spread in future years</w:t>
            </w:r>
          </w:p>
        </w:tc>
        <w:tc>
          <w:tcPr>
            <w:tcW w:w="1546" w:type="dxa"/>
          </w:tcPr>
          <w:p w14:paraId="0641317E" w14:textId="77777777" w:rsidR="00C30433" w:rsidRPr="005A674A" w:rsidRDefault="00C30433" w:rsidP="006E6C2D">
            <w:pPr>
              <w:rPr>
                <w:sz w:val="20"/>
              </w:rPr>
            </w:pPr>
          </w:p>
        </w:tc>
        <w:tc>
          <w:tcPr>
            <w:tcW w:w="1557" w:type="dxa"/>
          </w:tcPr>
          <w:p w14:paraId="0E146759" w14:textId="77777777" w:rsidR="00C30433" w:rsidRPr="005A674A" w:rsidRDefault="00C30433" w:rsidP="006E6C2D">
            <w:pPr>
              <w:rPr>
                <w:sz w:val="20"/>
              </w:rPr>
            </w:pPr>
          </w:p>
        </w:tc>
        <w:tc>
          <w:tcPr>
            <w:tcW w:w="1337" w:type="dxa"/>
          </w:tcPr>
          <w:p w14:paraId="3FCD7A21" w14:textId="77777777" w:rsidR="00C30433" w:rsidRPr="005A674A" w:rsidRDefault="00C30433" w:rsidP="006E6C2D">
            <w:pPr>
              <w:rPr>
                <w:sz w:val="20"/>
              </w:rPr>
            </w:pPr>
          </w:p>
        </w:tc>
        <w:tc>
          <w:tcPr>
            <w:tcW w:w="1349" w:type="dxa"/>
            <w:shd w:val="clear" w:color="auto" w:fill="FFFFFF" w:themeFill="background1"/>
          </w:tcPr>
          <w:p w14:paraId="48D311B0" w14:textId="41F5ED2F" w:rsidR="00C30433" w:rsidRPr="005A674A" w:rsidRDefault="0032589E" w:rsidP="006E6C2D">
            <w:pPr>
              <w:rPr>
                <w:b/>
                <w:bCs/>
                <w:sz w:val="20"/>
              </w:rPr>
            </w:pPr>
            <w:r w:rsidRPr="005A674A">
              <w:rPr>
                <w:b/>
                <w:bCs/>
                <w:sz w:val="20"/>
              </w:rPr>
              <w:t>-£842,262</w:t>
            </w:r>
          </w:p>
        </w:tc>
      </w:tr>
    </w:tbl>
    <w:p w14:paraId="42C6EE8B" w14:textId="4CA038C9" w:rsidR="00971349" w:rsidRPr="005A674A" w:rsidRDefault="00971349" w:rsidP="004F090E">
      <w:pPr>
        <w:ind w:left="360"/>
      </w:pPr>
    </w:p>
    <w:p w14:paraId="294CEDCE" w14:textId="393ED787" w:rsidR="00AD525E" w:rsidRPr="005A674A" w:rsidRDefault="00AD525E" w:rsidP="003D6E04">
      <w:pPr>
        <w:ind w:left="360"/>
        <w:jc w:val="both"/>
      </w:pPr>
      <w:r w:rsidRPr="005A674A">
        <w:t>As can be seen</w:t>
      </w:r>
      <w:r w:rsidR="004F090E" w:rsidRPr="005A674A">
        <w:t xml:space="preserve"> from the above,</w:t>
      </w:r>
      <w:r w:rsidRPr="005A674A">
        <w:t xml:space="preserve"> </w:t>
      </w:r>
      <w:r w:rsidR="00D77106" w:rsidRPr="005A674A">
        <w:t xml:space="preserve">there </w:t>
      </w:r>
      <w:r w:rsidR="00890FE9">
        <w:t>were</w:t>
      </w:r>
      <w:r w:rsidR="00D77106" w:rsidRPr="005A674A">
        <w:t xml:space="preserve"> sufficient moni</w:t>
      </w:r>
      <w:r w:rsidR="004F090E" w:rsidRPr="005A674A">
        <w:t>e</w:t>
      </w:r>
      <w:r w:rsidR="00D77106" w:rsidRPr="005A674A">
        <w:t xml:space="preserve">s </w:t>
      </w:r>
      <w:r w:rsidR="00662B47" w:rsidRPr="005A674A">
        <w:t>in the reserves</w:t>
      </w:r>
      <w:r w:rsidR="00D77106" w:rsidRPr="005A674A">
        <w:t xml:space="preserve"> to cover the commitment to the collection fund for</w:t>
      </w:r>
      <w:r w:rsidR="006073A9" w:rsidRPr="005A674A">
        <w:t xml:space="preserve"> the previous year.</w:t>
      </w:r>
    </w:p>
    <w:bookmarkEnd w:id="1"/>
    <w:p w14:paraId="3591B50F" w14:textId="0CB8D51E" w:rsidR="00DC7FD5" w:rsidRPr="005A674A" w:rsidRDefault="0093331E" w:rsidP="0093331E">
      <w:pPr>
        <w:pStyle w:val="ListParagraph"/>
        <w:ind w:left="360"/>
        <w:outlineLvl w:val="1"/>
        <w:rPr>
          <w:rFonts w:cs="Arial"/>
          <w:szCs w:val="24"/>
        </w:rPr>
      </w:pPr>
      <w:r w:rsidRPr="005A674A">
        <w:rPr>
          <w:rFonts w:cs="Arial"/>
          <w:szCs w:val="24"/>
        </w:rPr>
        <w:t xml:space="preserve"> </w:t>
      </w:r>
      <w:r w:rsidR="00DC7FD5" w:rsidRPr="005A674A">
        <w:rPr>
          <w:rFonts w:cs="Arial"/>
          <w:szCs w:val="24"/>
        </w:rPr>
        <w:t xml:space="preserve"> </w:t>
      </w:r>
    </w:p>
    <w:p w14:paraId="29B58707" w14:textId="77777777" w:rsidR="001838F5" w:rsidRPr="005A674A" w:rsidRDefault="001838F5" w:rsidP="00CE484E">
      <w:pPr>
        <w:autoSpaceDE w:val="0"/>
        <w:autoSpaceDN w:val="0"/>
        <w:adjustRightInd w:val="0"/>
        <w:ind w:left="360"/>
        <w:jc w:val="both"/>
        <w:rPr>
          <w:rFonts w:cs="Arial"/>
          <w:szCs w:val="24"/>
          <w:u w:val="single"/>
          <w:lang w:eastAsia="en-GB"/>
        </w:rPr>
      </w:pPr>
    </w:p>
    <w:p w14:paraId="4FC3A749" w14:textId="58CC6E68" w:rsidR="00DC7FD5" w:rsidRPr="005A674A" w:rsidRDefault="00882E4A" w:rsidP="00F9374E">
      <w:pPr>
        <w:pStyle w:val="ListParagraph"/>
        <w:numPr>
          <w:ilvl w:val="0"/>
          <w:numId w:val="5"/>
        </w:numPr>
        <w:outlineLvl w:val="1"/>
        <w:rPr>
          <w:rFonts w:cs="Arial"/>
          <w:b/>
          <w:bCs/>
          <w:sz w:val="28"/>
          <w:szCs w:val="32"/>
        </w:rPr>
      </w:pPr>
      <w:r w:rsidRPr="005A674A">
        <w:rPr>
          <w:rFonts w:cs="Arial"/>
          <w:b/>
          <w:bCs/>
          <w:sz w:val="28"/>
          <w:szCs w:val="32"/>
        </w:rPr>
        <w:t>Specific</w:t>
      </w:r>
      <w:r w:rsidR="00111943" w:rsidRPr="005A674A">
        <w:rPr>
          <w:rFonts w:cs="Arial"/>
          <w:b/>
          <w:bCs/>
          <w:sz w:val="28"/>
          <w:szCs w:val="32"/>
        </w:rPr>
        <w:t xml:space="preserve"> to 2021/22 </w:t>
      </w:r>
      <w:r w:rsidR="005B0B76" w:rsidRPr="005A674A">
        <w:rPr>
          <w:rFonts w:cs="Arial"/>
          <w:b/>
          <w:bCs/>
          <w:sz w:val="28"/>
          <w:szCs w:val="32"/>
        </w:rPr>
        <w:t>- Surplus</w:t>
      </w:r>
      <w:r w:rsidR="00B32E72" w:rsidRPr="005A674A">
        <w:rPr>
          <w:rFonts w:cs="Arial"/>
          <w:b/>
          <w:bCs/>
          <w:sz w:val="28"/>
          <w:szCs w:val="32"/>
        </w:rPr>
        <w:t xml:space="preserve"> / </w:t>
      </w:r>
      <w:r w:rsidR="00F9374E" w:rsidRPr="005A674A">
        <w:rPr>
          <w:rFonts w:cs="Arial"/>
          <w:b/>
          <w:bCs/>
          <w:sz w:val="28"/>
          <w:szCs w:val="32"/>
        </w:rPr>
        <w:t xml:space="preserve">Deficits </w:t>
      </w:r>
      <w:r w:rsidR="00DC7FD5" w:rsidRPr="005A674A">
        <w:rPr>
          <w:rFonts w:cs="Arial"/>
          <w:b/>
          <w:bCs/>
          <w:sz w:val="28"/>
          <w:szCs w:val="32"/>
        </w:rPr>
        <w:t xml:space="preserve"> </w:t>
      </w:r>
    </w:p>
    <w:p w14:paraId="69C3BFC8" w14:textId="3C2C454F" w:rsidR="00B32E72" w:rsidRPr="005A674A" w:rsidRDefault="00B32E72" w:rsidP="00B32E72">
      <w:pPr>
        <w:autoSpaceDE w:val="0"/>
        <w:autoSpaceDN w:val="0"/>
        <w:adjustRightInd w:val="0"/>
        <w:ind w:left="360"/>
        <w:jc w:val="both"/>
        <w:rPr>
          <w:rFonts w:cs="Arial"/>
          <w:szCs w:val="24"/>
          <w:lang w:eastAsia="en-GB"/>
        </w:rPr>
      </w:pPr>
      <w:r w:rsidRPr="005A674A">
        <w:rPr>
          <w:rFonts w:cs="Arial"/>
          <w:szCs w:val="24"/>
          <w:lang w:eastAsia="en-GB"/>
        </w:rPr>
        <w:t>The estimate of the surplus / (deficit) for the Collection Fund as at 31</w:t>
      </w:r>
      <w:r w:rsidRPr="005A674A">
        <w:rPr>
          <w:rFonts w:cs="Arial"/>
          <w:szCs w:val="24"/>
          <w:vertAlign w:val="superscript"/>
          <w:lang w:eastAsia="en-GB"/>
        </w:rPr>
        <w:t>st</w:t>
      </w:r>
      <w:r w:rsidRPr="005A674A">
        <w:rPr>
          <w:rFonts w:cs="Arial"/>
          <w:szCs w:val="24"/>
          <w:lang w:eastAsia="en-GB"/>
        </w:rPr>
        <w:t xml:space="preserve"> March 2022 is made for the purpose of the 2022-23 budget. The estimated financial position of (£21.069m) as at 31</w:t>
      </w:r>
      <w:r w:rsidRPr="005A674A">
        <w:rPr>
          <w:rFonts w:cs="Arial"/>
          <w:szCs w:val="24"/>
          <w:vertAlign w:val="superscript"/>
          <w:lang w:eastAsia="en-GB"/>
        </w:rPr>
        <w:t>st</w:t>
      </w:r>
      <w:r w:rsidRPr="005A674A">
        <w:rPr>
          <w:rFonts w:cs="Arial"/>
          <w:szCs w:val="24"/>
          <w:lang w:eastAsia="en-GB"/>
        </w:rPr>
        <w:t xml:space="preserve"> March 2022 is shown in the table below with the allocation between the stakeholders for both council tax and NNDR</w:t>
      </w:r>
      <w:r w:rsidR="00B35C3C">
        <w:rPr>
          <w:rFonts w:cs="Arial"/>
          <w:szCs w:val="24"/>
          <w:lang w:eastAsia="en-GB"/>
        </w:rPr>
        <w:t>.</w:t>
      </w:r>
      <w:r w:rsidRPr="005A674A">
        <w:rPr>
          <w:rFonts w:cs="Arial"/>
          <w:szCs w:val="24"/>
          <w:lang w:eastAsia="en-GB"/>
        </w:rPr>
        <w:t xml:space="preserve"> </w:t>
      </w:r>
    </w:p>
    <w:p w14:paraId="15A1580A" w14:textId="77777777" w:rsidR="00B32E72" w:rsidRPr="005A674A" w:rsidRDefault="00B32E72" w:rsidP="00B32E72">
      <w:pPr>
        <w:autoSpaceDE w:val="0"/>
        <w:autoSpaceDN w:val="0"/>
        <w:adjustRightInd w:val="0"/>
        <w:rPr>
          <w:rFonts w:cs="Arial"/>
          <w:szCs w:val="24"/>
          <w:lang w:eastAsia="en-GB"/>
        </w:rPr>
      </w:pPr>
    </w:p>
    <w:tbl>
      <w:tblPr>
        <w:tblW w:w="7848"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1125"/>
        <w:gridCol w:w="1131"/>
        <w:gridCol w:w="980"/>
        <w:gridCol w:w="1036"/>
        <w:gridCol w:w="1139"/>
      </w:tblGrid>
      <w:tr w:rsidR="005A674A" w:rsidRPr="005A674A" w14:paraId="676178ED" w14:textId="77777777" w:rsidTr="00E24B57">
        <w:trPr>
          <w:trHeight w:val="345"/>
        </w:trPr>
        <w:tc>
          <w:tcPr>
            <w:tcW w:w="2461" w:type="dxa"/>
          </w:tcPr>
          <w:p w14:paraId="69BB3F30" w14:textId="77777777" w:rsidR="00B32E72" w:rsidRPr="005A674A" w:rsidRDefault="00B32E72" w:rsidP="00E24B57">
            <w:pPr>
              <w:autoSpaceDE w:val="0"/>
              <w:autoSpaceDN w:val="0"/>
              <w:adjustRightInd w:val="0"/>
              <w:jc w:val="center"/>
              <w:rPr>
                <w:rFonts w:cs="Arial"/>
                <w:b/>
                <w:sz w:val="22"/>
                <w:szCs w:val="22"/>
                <w:lang w:eastAsia="en-GB"/>
              </w:rPr>
            </w:pPr>
          </w:p>
        </w:tc>
        <w:tc>
          <w:tcPr>
            <w:tcW w:w="2268" w:type="dxa"/>
            <w:gridSpan w:val="2"/>
          </w:tcPr>
          <w:p w14:paraId="4F74002F" w14:textId="77777777" w:rsidR="00B32E72" w:rsidRPr="005A674A" w:rsidRDefault="00B32E72" w:rsidP="00E24B57">
            <w:pPr>
              <w:autoSpaceDE w:val="0"/>
              <w:autoSpaceDN w:val="0"/>
              <w:adjustRightInd w:val="0"/>
              <w:jc w:val="center"/>
              <w:rPr>
                <w:rFonts w:cs="Arial"/>
                <w:b/>
                <w:sz w:val="22"/>
                <w:szCs w:val="22"/>
                <w:lang w:eastAsia="en-GB"/>
              </w:rPr>
            </w:pPr>
            <w:r w:rsidRPr="005A674A">
              <w:rPr>
                <w:rFonts w:cs="Arial"/>
                <w:b/>
                <w:sz w:val="22"/>
                <w:szCs w:val="22"/>
                <w:lang w:eastAsia="en-GB"/>
              </w:rPr>
              <w:t>Council Tax (Table 1a)</w:t>
            </w:r>
          </w:p>
        </w:tc>
        <w:tc>
          <w:tcPr>
            <w:tcW w:w="1985" w:type="dxa"/>
            <w:gridSpan w:val="2"/>
          </w:tcPr>
          <w:p w14:paraId="3037EC8F" w14:textId="77777777" w:rsidR="00B32E72" w:rsidRPr="005A674A" w:rsidRDefault="00B32E72" w:rsidP="00E24B57">
            <w:pPr>
              <w:autoSpaceDE w:val="0"/>
              <w:autoSpaceDN w:val="0"/>
              <w:adjustRightInd w:val="0"/>
              <w:jc w:val="center"/>
              <w:rPr>
                <w:rFonts w:cs="Arial"/>
                <w:b/>
                <w:sz w:val="22"/>
                <w:szCs w:val="22"/>
                <w:lang w:eastAsia="en-GB"/>
              </w:rPr>
            </w:pPr>
            <w:r w:rsidRPr="005A674A">
              <w:rPr>
                <w:rFonts w:cs="Arial"/>
                <w:b/>
                <w:sz w:val="22"/>
                <w:szCs w:val="22"/>
                <w:lang w:eastAsia="en-GB"/>
              </w:rPr>
              <w:t xml:space="preserve">NNDR </w:t>
            </w:r>
          </w:p>
          <w:p w14:paraId="6C7AE97C" w14:textId="77777777" w:rsidR="00B32E72" w:rsidRPr="005A674A" w:rsidRDefault="00B32E72" w:rsidP="00E24B57">
            <w:pPr>
              <w:autoSpaceDE w:val="0"/>
              <w:autoSpaceDN w:val="0"/>
              <w:adjustRightInd w:val="0"/>
              <w:jc w:val="center"/>
              <w:rPr>
                <w:rFonts w:cs="Arial"/>
                <w:b/>
                <w:sz w:val="22"/>
                <w:szCs w:val="22"/>
                <w:lang w:eastAsia="en-GB"/>
              </w:rPr>
            </w:pPr>
            <w:r w:rsidRPr="005A674A">
              <w:rPr>
                <w:rFonts w:cs="Arial"/>
                <w:b/>
                <w:sz w:val="22"/>
                <w:szCs w:val="22"/>
                <w:lang w:eastAsia="en-GB"/>
              </w:rPr>
              <w:t>(Table 2a)</w:t>
            </w:r>
          </w:p>
        </w:tc>
        <w:tc>
          <w:tcPr>
            <w:tcW w:w="1134" w:type="dxa"/>
          </w:tcPr>
          <w:p w14:paraId="425C3B73" w14:textId="77777777" w:rsidR="00B32E72" w:rsidRPr="005A674A" w:rsidRDefault="00B32E72" w:rsidP="00E24B57">
            <w:pPr>
              <w:autoSpaceDE w:val="0"/>
              <w:autoSpaceDN w:val="0"/>
              <w:adjustRightInd w:val="0"/>
              <w:jc w:val="center"/>
              <w:rPr>
                <w:rFonts w:cs="Arial"/>
                <w:b/>
                <w:sz w:val="22"/>
                <w:szCs w:val="22"/>
                <w:lang w:eastAsia="en-GB"/>
              </w:rPr>
            </w:pPr>
            <w:r w:rsidRPr="005A674A">
              <w:rPr>
                <w:rFonts w:cs="Arial"/>
                <w:b/>
                <w:sz w:val="22"/>
                <w:szCs w:val="22"/>
                <w:lang w:eastAsia="en-GB"/>
              </w:rPr>
              <w:t>Total</w:t>
            </w:r>
          </w:p>
        </w:tc>
      </w:tr>
      <w:tr w:rsidR="005A674A" w:rsidRPr="005A674A" w14:paraId="4C55301B" w14:textId="77777777" w:rsidTr="00E24B57">
        <w:tc>
          <w:tcPr>
            <w:tcW w:w="2461" w:type="dxa"/>
          </w:tcPr>
          <w:p w14:paraId="2169073F" w14:textId="77777777" w:rsidR="00B32E72" w:rsidRPr="005A674A" w:rsidRDefault="00B32E72" w:rsidP="00E24B57">
            <w:pPr>
              <w:autoSpaceDE w:val="0"/>
              <w:autoSpaceDN w:val="0"/>
              <w:adjustRightInd w:val="0"/>
              <w:jc w:val="center"/>
              <w:rPr>
                <w:rFonts w:cs="Arial"/>
                <w:sz w:val="22"/>
                <w:szCs w:val="22"/>
                <w:lang w:eastAsia="en-GB"/>
              </w:rPr>
            </w:pPr>
          </w:p>
        </w:tc>
        <w:tc>
          <w:tcPr>
            <w:tcW w:w="1134" w:type="dxa"/>
          </w:tcPr>
          <w:p w14:paraId="5547CBFC" w14:textId="77777777" w:rsidR="00B32E72" w:rsidRPr="005A674A" w:rsidRDefault="00B32E72" w:rsidP="00E24B57">
            <w:pPr>
              <w:autoSpaceDE w:val="0"/>
              <w:autoSpaceDN w:val="0"/>
              <w:adjustRightInd w:val="0"/>
              <w:jc w:val="center"/>
              <w:rPr>
                <w:rFonts w:cs="Arial"/>
                <w:sz w:val="22"/>
                <w:szCs w:val="22"/>
                <w:lang w:eastAsia="en-GB"/>
              </w:rPr>
            </w:pPr>
            <w:r w:rsidRPr="005A674A">
              <w:rPr>
                <w:rFonts w:cs="Arial"/>
                <w:sz w:val="22"/>
                <w:szCs w:val="22"/>
                <w:lang w:eastAsia="en-GB"/>
              </w:rPr>
              <w:t>%</w:t>
            </w:r>
          </w:p>
        </w:tc>
        <w:tc>
          <w:tcPr>
            <w:tcW w:w="1134" w:type="dxa"/>
          </w:tcPr>
          <w:p w14:paraId="3E69630E" w14:textId="77777777" w:rsidR="00B32E72" w:rsidRPr="005A674A" w:rsidRDefault="00B32E72" w:rsidP="00E24B57">
            <w:pPr>
              <w:autoSpaceDE w:val="0"/>
              <w:autoSpaceDN w:val="0"/>
              <w:adjustRightInd w:val="0"/>
              <w:jc w:val="center"/>
              <w:rPr>
                <w:rFonts w:cs="Arial"/>
                <w:sz w:val="22"/>
                <w:szCs w:val="22"/>
                <w:lang w:eastAsia="en-GB"/>
              </w:rPr>
            </w:pPr>
            <w:r w:rsidRPr="005A674A">
              <w:rPr>
                <w:rFonts w:cs="Arial"/>
                <w:sz w:val="22"/>
                <w:szCs w:val="22"/>
                <w:lang w:eastAsia="en-GB"/>
              </w:rPr>
              <w:t>£m</w:t>
            </w:r>
          </w:p>
        </w:tc>
        <w:tc>
          <w:tcPr>
            <w:tcW w:w="993" w:type="dxa"/>
          </w:tcPr>
          <w:p w14:paraId="6C09E820" w14:textId="77777777" w:rsidR="00B32E72" w:rsidRPr="005A674A" w:rsidRDefault="00B32E72" w:rsidP="00E24B57">
            <w:pPr>
              <w:autoSpaceDE w:val="0"/>
              <w:autoSpaceDN w:val="0"/>
              <w:adjustRightInd w:val="0"/>
              <w:jc w:val="center"/>
              <w:rPr>
                <w:rFonts w:cs="Arial"/>
                <w:sz w:val="22"/>
                <w:szCs w:val="22"/>
                <w:lang w:eastAsia="en-GB"/>
              </w:rPr>
            </w:pPr>
            <w:r w:rsidRPr="005A674A">
              <w:rPr>
                <w:rFonts w:cs="Arial"/>
                <w:sz w:val="22"/>
                <w:szCs w:val="22"/>
                <w:lang w:eastAsia="en-GB"/>
              </w:rPr>
              <w:t>%</w:t>
            </w:r>
          </w:p>
        </w:tc>
        <w:tc>
          <w:tcPr>
            <w:tcW w:w="992" w:type="dxa"/>
          </w:tcPr>
          <w:p w14:paraId="531AFDDF" w14:textId="77777777" w:rsidR="00B32E72" w:rsidRPr="005A674A" w:rsidRDefault="00B32E72" w:rsidP="00E24B57">
            <w:pPr>
              <w:autoSpaceDE w:val="0"/>
              <w:autoSpaceDN w:val="0"/>
              <w:adjustRightInd w:val="0"/>
              <w:jc w:val="center"/>
              <w:rPr>
                <w:rFonts w:cs="Arial"/>
                <w:sz w:val="22"/>
                <w:szCs w:val="22"/>
                <w:lang w:eastAsia="en-GB"/>
              </w:rPr>
            </w:pPr>
            <w:r w:rsidRPr="005A674A">
              <w:rPr>
                <w:rFonts w:cs="Arial"/>
                <w:sz w:val="22"/>
                <w:szCs w:val="22"/>
                <w:lang w:eastAsia="en-GB"/>
              </w:rPr>
              <w:t>£m</w:t>
            </w:r>
          </w:p>
        </w:tc>
        <w:tc>
          <w:tcPr>
            <w:tcW w:w="1134" w:type="dxa"/>
          </w:tcPr>
          <w:p w14:paraId="4D8A43BB" w14:textId="77777777" w:rsidR="00B32E72" w:rsidRPr="005A674A" w:rsidRDefault="00B32E72" w:rsidP="00E24B57">
            <w:pPr>
              <w:autoSpaceDE w:val="0"/>
              <w:autoSpaceDN w:val="0"/>
              <w:adjustRightInd w:val="0"/>
              <w:jc w:val="center"/>
              <w:rPr>
                <w:rFonts w:cs="Arial"/>
                <w:sz w:val="22"/>
                <w:szCs w:val="22"/>
                <w:lang w:eastAsia="en-GB"/>
              </w:rPr>
            </w:pPr>
            <w:r w:rsidRPr="005A674A">
              <w:rPr>
                <w:rFonts w:cs="Arial"/>
                <w:sz w:val="22"/>
                <w:szCs w:val="22"/>
                <w:lang w:eastAsia="en-GB"/>
              </w:rPr>
              <w:t>£m</w:t>
            </w:r>
          </w:p>
        </w:tc>
      </w:tr>
      <w:tr w:rsidR="005A674A" w:rsidRPr="005A674A" w14:paraId="6961A77D" w14:textId="77777777" w:rsidTr="00E24B57">
        <w:tc>
          <w:tcPr>
            <w:tcW w:w="2461" w:type="dxa"/>
          </w:tcPr>
          <w:p w14:paraId="7B23471C" w14:textId="77777777" w:rsidR="00B32E72" w:rsidRPr="005A674A" w:rsidRDefault="00B32E72" w:rsidP="00E24B57">
            <w:pPr>
              <w:autoSpaceDE w:val="0"/>
              <w:autoSpaceDN w:val="0"/>
              <w:adjustRightInd w:val="0"/>
              <w:rPr>
                <w:rFonts w:cs="Arial"/>
                <w:sz w:val="22"/>
                <w:szCs w:val="22"/>
                <w:lang w:eastAsia="en-GB"/>
              </w:rPr>
            </w:pPr>
            <w:r w:rsidRPr="005A674A">
              <w:rPr>
                <w:rFonts w:cs="Arial"/>
                <w:sz w:val="22"/>
                <w:szCs w:val="22"/>
                <w:lang w:eastAsia="en-GB"/>
              </w:rPr>
              <w:t>Harrow Council</w:t>
            </w:r>
          </w:p>
        </w:tc>
        <w:tc>
          <w:tcPr>
            <w:tcW w:w="1134" w:type="dxa"/>
          </w:tcPr>
          <w:p w14:paraId="136BEC12" w14:textId="77777777" w:rsidR="00B32E72" w:rsidRPr="005A674A" w:rsidRDefault="00B32E72" w:rsidP="00E24B57">
            <w:pPr>
              <w:autoSpaceDE w:val="0"/>
              <w:autoSpaceDN w:val="0"/>
              <w:adjustRightInd w:val="0"/>
              <w:jc w:val="right"/>
              <w:rPr>
                <w:rFonts w:cs="Arial"/>
                <w:sz w:val="22"/>
                <w:szCs w:val="22"/>
                <w:lang w:eastAsia="en-GB"/>
              </w:rPr>
            </w:pPr>
            <w:r w:rsidRPr="005A674A">
              <w:rPr>
                <w:rFonts w:cs="Arial"/>
                <w:sz w:val="22"/>
                <w:szCs w:val="22"/>
                <w:lang w:eastAsia="en-GB"/>
              </w:rPr>
              <w:t>81.47</w:t>
            </w:r>
          </w:p>
        </w:tc>
        <w:tc>
          <w:tcPr>
            <w:tcW w:w="1134" w:type="dxa"/>
          </w:tcPr>
          <w:p w14:paraId="2E4C1B6C" w14:textId="77777777" w:rsidR="00B32E72" w:rsidRPr="005A674A" w:rsidRDefault="00B32E72" w:rsidP="00E24B57">
            <w:pPr>
              <w:autoSpaceDE w:val="0"/>
              <w:autoSpaceDN w:val="0"/>
              <w:adjustRightInd w:val="0"/>
              <w:jc w:val="right"/>
              <w:rPr>
                <w:rFonts w:cs="Arial"/>
                <w:sz w:val="22"/>
                <w:szCs w:val="22"/>
                <w:highlight w:val="yellow"/>
                <w:lang w:eastAsia="en-GB"/>
              </w:rPr>
            </w:pPr>
            <w:r w:rsidRPr="005A674A">
              <w:rPr>
                <w:rFonts w:cs="Arial"/>
                <w:sz w:val="22"/>
                <w:szCs w:val="22"/>
                <w:lang w:eastAsia="en-GB"/>
              </w:rPr>
              <w:t>(0.343)</w:t>
            </w:r>
          </w:p>
        </w:tc>
        <w:tc>
          <w:tcPr>
            <w:tcW w:w="993" w:type="dxa"/>
          </w:tcPr>
          <w:p w14:paraId="38C4D082" w14:textId="77777777" w:rsidR="00B32E72" w:rsidRPr="005A674A" w:rsidRDefault="00B32E72" w:rsidP="00E24B57">
            <w:pPr>
              <w:autoSpaceDE w:val="0"/>
              <w:autoSpaceDN w:val="0"/>
              <w:adjustRightInd w:val="0"/>
              <w:ind w:left="-269"/>
              <w:jc w:val="right"/>
              <w:rPr>
                <w:rFonts w:cs="Arial"/>
                <w:sz w:val="22"/>
                <w:szCs w:val="22"/>
                <w:highlight w:val="yellow"/>
                <w:lang w:eastAsia="en-GB"/>
              </w:rPr>
            </w:pPr>
            <w:r w:rsidRPr="005A674A">
              <w:rPr>
                <w:rFonts w:cs="Arial"/>
                <w:sz w:val="22"/>
                <w:szCs w:val="22"/>
                <w:lang w:eastAsia="en-GB"/>
              </w:rPr>
              <w:t>30</w:t>
            </w:r>
          </w:p>
        </w:tc>
        <w:tc>
          <w:tcPr>
            <w:tcW w:w="992" w:type="dxa"/>
          </w:tcPr>
          <w:p w14:paraId="717FCFA2" w14:textId="77777777" w:rsidR="00B32E72" w:rsidRPr="005A674A" w:rsidRDefault="00B32E72" w:rsidP="00E24B57">
            <w:pPr>
              <w:autoSpaceDE w:val="0"/>
              <w:autoSpaceDN w:val="0"/>
              <w:adjustRightInd w:val="0"/>
              <w:jc w:val="right"/>
              <w:rPr>
                <w:rFonts w:cs="Arial"/>
                <w:sz w:val="22"/>
                <w:szCs w:val="22"/>
                <w:highlight w:val="yellow"/>
                <w:lang w:eastAsia="en-GB"/>
              </w:rPr>
            </w:pPr>
            <w:r w:rsidRPr="005A674A">
              <w:rPr>
                <w:rFonts w:cs="Arial"/>
                <w:sz w:val="22"/>
                <w:szCs w:val="22"/>
                <w:lang w:eastAsia="en-GB"/>
              </w:rPr>
              <w:t>(6.194)</w:t>
            </w:r>
          </w:p>
        </w:tc>
        <w:tc>
          <w:tcPr>
            <w:tcW w:w="1134" w:type="dxa"/>
          </w:tcPr>
          <w:p w14:paraId="4F4D73D6" w14:textId="77777777" w:rsidR="00B32E72" w:rsidRPr="005A674A" w:rsidRDefault="00B32E72" w:rsidP="00E24B57">
            <w:pPr>
              <w:autoSpaceDE w:val="0"/>
              <w:autoSpaceDN w:val="0"/>
              <w:adjustRightInd w:val="0"/>
              <w:ind w:right="26"/>
              <w:jc w:val="center"/>
              <w:rPr>
                <w:rFonts w:cs="Arial"/>
                <w:sz w:val="22"/>
                <w:szCs w:val="22"/>
                <w:lang w:eastAsia="en-GB"/>
              </w:rPr>
            </w:pPr>
            <w:r w:rsidRPr="005A674A">
              <w:rPr>
                <w:rFonts w:cs="Arial"/>
                <w:sz w:val="22"/>
                <w:szCs w:val="22"/>
                <w:lang w:eastAsia="en-GB"/>
              </w:rPr>
              <w:t xml:space="preserve">  </w:t>
            </w:r>
            <w:proofErr w:type="gramStart"/>
            <w:r w:rsidRPr="005A674A">
              <w:rPr>
                <w:rFonts w:cs="Arial"/>
                <w:sz w:val="22"/>
                <w:szCs w:val="22"/>
                <w:lang w:eastAsia="en-GB"/>
              </w:rPr>
              <w:t>( 6.537</w:t>
            </w:r>
            <w:proofErr w:type="gramEnd"/>
            <w:r w:rsidRPr="005A674A">
              <w:rPr>
                <w:rFonts w:cs="Arial"/>
                <w:sz w:val="22"/>
                <w:szCs w:val="22"/>
                <w:lang w:eastAsia="en-GB"/>
              </w:rPr>
              <w:t>)</w:t>
            </w:r>
          </w:p>
        </w:tc>
      </w:tr>
      <w:tr w:rsidR="005A674A" w:rsidRPr="005A674A" w14:paraId="55C63FE6" w14:textId="77777777" w:rsidTr="00E24B57">
        <w:tc>
          <w:tcPr>
            <w:tcW w:w="2461" w:type="dxa"/>
          </w:tcPr>
          <w:p w14:paraId="626362F0" w14:textId="77777777" w:rsidR="00B32E72" w:rsidRPr="005A674A" w:rsidRDefault="00B32E72" w:rsidP="00E24B57">
            <w:pPr>
              <w:autoSpaceDE w:val="0"/>
              <w:autoSpaceDN w:val="0"/>
              <w:adjustRightInd w:val="0"/>
              <w:rPr>
                <w:rFonts w:cs="Arial"/>
                <w:sz w:val="22"/>
                <w:szCs w:val="22"/>
                <w:lang w:eastAsia="en-GB"/>
              </w:rPr>
            </w:pPr>
            <w:r w:rsidRPr="005A674A">
              <w:rPr>
                <w:rFonts w:cs="Arial"/>
                <w:sz w:val="22"/>
                <w:szCs w:val="22"/>
                <w:lang w:eastAsia="en-GB"/>
              </w:rPr>
              <w:t>Greater London Authority</w:t>
            </w:r>
          </w:p>
        </w:tc>
        <w:tc>
          <w:tcPr>
            <w:tcW w:w="1134" w:type="dxa"/>
          </w:tcPr>
          <w:p w14:paraId="19D78D0C" w14:textId="77777777" w:rsidR="00B32E72" w:rsidRPr="005A674A" w:rsidRDefault="00B32E72" w:rsidP="00E24B57">
            <w:pPr>
              <w:autoSpaceDE w:val="0"/>
              <w:autoSpaceDN w:val="0"/>
              <w:adjustRightInd w:val="0"/>
              <w:jc w:val="right"/>
              <w:rPr>
                <w:rFonts w:cs="Arial"/>
                <w:sz w:val="22"/>
                <w:szCs w:val="22"/>
                <w:lang w:eastAsia="en-GB"/>
              </w:rPr>
            </w:pPr>
            <w:r w:rsidRPr="005A674A">
              <w:rPr>
                <w:rFonts w:cs="Arial"/>
                <w:sz w:val="22"/>
                <w:szCs w:val="22"/>
                <w:lang w:eastAsia="en-GB"/>
              </w:rPr>
              <w:t>18.53</w:t>
            </w:r>
          </w:p>
        </w:tc>
        <w:tc>
          <w:tcPr>
            <w:tcW w:w="1134" w:type="dxa"/>
          </w:tcPr>
          <w:p w14:paraId="7D4AC27F" w14:textId="77777777" w:rsidR="00B32E72" w:rsidRPr="005A674A" w:rsidRDefault="00B32E72" w:rsidP="00E24B57">
            <w:pPr>
              <w:autoSpaceDE w:val="0"/>
              <w:autoSpaceDN w:val="0"/>
              <w:adjustRightInd w:val="0"/>
              <w:jc w:val="right"/>
              <w:rPr>
                <w:rFonts w:cs="Arial"/>
                <w:sz w:val="22"/>
                <w:szCs w:val="22"/>
                <w:highlight w:val="yellow"/>
                <w:lang w:eastAsia="en-GB"/>
              </w:rPr>
            </w:pPr>
            <w:r w:rsidRPr="005A674A">
              <w:rPr>
                <w:rFonts w:cs="Arial"/>
                <w:sz w:val="22"/>
                <w:szCs w:val="22"/>
                <w:lang w:eastAsia="en-GB"/>
              </w:rPr>
              <w:t>(0.078)</w:t>
            </w:r>
          </w:p>
        </w:tc>
        <w:tc>
          <w:tcPr>
            <w:tcW w:w="993" w:type="dxa"/>
          </w:tcPr>
          <w:p w14:paraId="38148ABB" w14:textId="77777777" w:rsidR="00B32E72" w:rsidRPr="005A674A" w:rsidRDefault="00B32E72" w:rsidP="00E24B57">
            <w:pPr>
              <w:autoSpaceDE w:val="0"/>
              <w:autoSpaceDN w:val="0"/>
              <w:adjustRightInd w:val="0"/>
              <w:jc w:val="right"/>
              <w:rPr>
                <w:rFonts w:cs="Arial"/>
                <w:sz w:val="22"/>
                <w:szCs w:val="22"/>
                <w:highlight w:val="yellow"/>
                <w:lang w:eastAsia="en-GB"/>
              </w:rPr>
            </w:pPr>
            <w:r w:rsidRPr="005A674A">
              <w:rPr>
                <w:rFonts w:cs="Arial"/>
                <w:sz w:val="22"/>
                <w:szCs w:val="22"/>
                <w:lang w:eastAsia="en-GB"/>
              </w:rPr>
              <w:t>37</w:t>
            </w:r>
          </w:p>
        </w:tc>
        <w:tc>
          <w:tcPr>
            <w:tcW w:w="992" w:type="dxa"/>
          </w:tcPr>
          <w:p w14:paraId="071B06DF" w14:textId="77777777" w:rsidR="00B32E72" w:rsidRPr="005A674A" w:rsidRDefault="00B32E72" w:rsidP="00E24B57">
            <w:pPr>
              <w:autoSpaceDE w:val="0"/>
              <w:autoSpaceDN w:val="0"/>
              <w:adjustRightInd w:val="0"/>
              <w:jc w:val="right"/>
              <w:rPr>
                <w:rFonts w:cs="Arial"/>
                <w:sz w:val="22"/>
                <w:szCs w:val="22"/>
                <w:lang w:eastAsia="en-GB"/>
              </w:rPr>
            </w:pPr>
            <w:r w:rsidRPr="005A674A">
              <w:rPr>
                <w:rFonts w:cs="Arial"/>
                <w:sz w:val="22"/>
                <w:szCs w:val="22"/>
                <w:lang w:eastAsia="en-GB"/>
              </w:rPr>
              <w:t>(7.640)</w:t>
            </w:r>
          </w:p>
        </w:tc>
        <w:tc>
          <w:tcPr>
            <w:tcW w:w="1134" w:type="dxa"/>
          </w:tcPr>
          <w:p w14:paraId="32E351CF" w14:textId="77777777" w:rsidR="00B32E72" w:rsidRPr="005A674A" w:rsidRDefault="00B32E72" w:rsidP="00E24B57">
            <w:pPr>
              <w:autoSpaceDE w:val="0"/>
              <w:autoSpaceDN w:val="0"/>
              <w:adjustRightInd w:val="0"/>
              <w:ind w:right="103"/>
              <w:jc w:val="right"/>
              <w:rPr>
                <w:rFonts w:cs="Arial"/>
                <w:sz w:val="22"/>
                <w:szCs w:val="22"/>
                <w:lang w:eastAsia="en-GB"/>
              </w:rPr>
            </w:pPr>
            <w:r w:rsidRPr="005A674A">
              <w:rPr>
                <w:rFonts w:cs="Arial"/>
                <w:sz w:val="22"/>
                <w:szCs w:val="22"/>
                <w:lang w:eastAsia="en-GB"/>
              </w:rPr>
              <w:t>(7.718)</w:t>
            </w:r>
          </w:p>
        </w:tc>
      </w:tr>
      <w:tr w:rsidR="005A674A" w:rsidRPr="005A674A" w14:paraId="22067C94" w14:textId="77777777" w:rsidTr="00E24B57">
        <w:tc>
          <w:tcPr>
            <w:tcW w:w="2461" w:type="dxa"/>
          </w:tcPr>
          <w:p w14:paraId="318E4242" w14:textId="77777777" w:rsidR="00B32E72" w:rsidRPr="005A674A" w:rsidRDefault="00B32E72" w:rsidP="00E24B57">
            <w:pPr>
              <w:autoSpaceDE w:val="0"/>
              <w:autoSpaceDN w:val="0"/>
              <w:adjustRightInd w:val="0"/>
              <w:rPr>
                <w:rFonts w:cs="Arial"/>
                <w:sz w:val="22"/>
                <w:szCs w:val="22"/>
                <w:lang w:eastAsia="en-GB"/>
              </w:rPr>
            </w:pPr>
            <w:r w:rsidRPr="005A674A">
              <w:rPr>
                <w:rFonts w:cs="Arial"/>
                <w:sz w:val="22"/>
                <w:szCs w:val="22"/>
                <w:lang w:eastAsia="en-GB"/>
              </w:rPr>
              <w:t>Central Government</w:t>
            </w:r>
          </w:p>
        </w:tc>
        <w:tc>
          <w:tcPr>
            <w:tcW w:w="1134" w:type="dxa"/>
          </w:tcPr>
          <w:p w14:paraId="3990A070" w14:textId="77777777" w:rsidR="00B32E72" w:rsidRPr="005A674A" w:rsidRDefault="00B32E72" w:rsidP="00E24B57">
            <w:pPr>
              <w:autoSpaceDE w:val="0"/>
              <w:autoSpaceDN w:val="0"/>
              <w:adjustRightInd w:val="0"/>
              <w:rPr>
                <w:rFonts w:cs="Arial"/>
                <w:sz w:val="22"/>
                <w:szCs w:val="22"/>
                <w:highlight w:val="yellow"/>
                <w:lang w:eastAsia="en-GB"/>
              </w:rPr>
            </w:pPr>
          </w:p>
        </w:tc>
        <w:tc>
          <w:tcPr>
            <w:tcW w:w="1134" w:type="dxa"/>
          </w:tcPr>
          <w:p w14:paraId="7C67C6F2" w14:textId="77777777" w:rsidR="00B32E72" w:rsidRPr="005A674A" w:rsidRDefault="00B32E72" w:rsidP="00E24B57">
            <w:pPr>
              <w:autoSpaceDE w:val="0"/>
              <w:autoSpaceDN w:val="0"/>
              <w:adjustRightInd w:val="0"/>
              <w:jc w:val="center"/>
              <w:rPr>
                <w:rFonts w:cs="Arial"/>
                <w:sz w:val="22"/>
                <w:szCs w:val="22"/>
                <w:highlight w:val="yellow"/>
                <w:lang w:eastAsia="en-GB"/>
              </w:rPr>
            </w:pPr>
          </w:p>
        </w:tc>
        <w:tc>
          <w:tcPr>
            <w:tcW w:w="993" w:type="dxa"/>
          </w:tcPr>
          <w:p w14:paraId="34481F16" w14:textId="77777777" w:rsidR="00B32E72" w:rsidRPr="005A674A" w:rsidRDefault="00B32E72" w:rsidP="00E24B57">
            <w:pPr>
              <w:autoSpaceDE w:val="0"/>
              <w:autoSpaceDN w:val="0"/>
              <w:adjustRightInd w:val="0"/>
              <w:jc w:val="right"/>
              <w:rPr>
                <w:rFonts w:cs="Arial"/>
                <w:sz w:val="22"/>
                <w:szCs w:val="22"/>
                <w:highlight w:val="yellow"/>
                <w:lang w:eastAsia="en-GB"/>
              </w:rPr>
            </w:pPr>
            <w:r w:rsidRPr="005A674A">
              <w:rPr>
                <w:rFonts w:cs="Arial"/>
                <w:sz w:val="22"/>
                <w:szCs w:val="22"/>
                <w:lang w:eastAsia="en-GB"/>
              </w:rPr>
              <w:t>33</w:t>
            </w:r>
          </w:p>
        </w:tc>
        <w:tc>
          <w:tcPr>
            <w:tcW w:w="992" w:type="dxa"/>
          </w:tcPr>
          <w:p w14:paraId="4DDD5B7E" w14:textId="77777777" w:rsidR="00B32E72" w:rsidRPr="005A674A" w:rsidRDefault="00B32E72" w:rsidP="00E24B57">
            <w:pPr>
              <w:autoSpaceDE w:val="0"/>
              <w:autoSpaceDN w:val="0"/>
              <w:adjustRightInd w:val="0"/>
              <w:jc w:val="right"/>
              <w:rPr>
                <w:rFonts w:cs="Arial"/>
                <w:sz w:val="22"/>
                <w:szCs w:val="22"/>
                <w:lang w:eastAsia="en-GB"/>
              </w:rPr>
            </w:pPr>
            <w:r w:rsidRPr="005A674A">
              <w:rPr>
                <w:rFonts w:cs="Arial"/>
                <w:sz w:val="22"/>
                <w:szCs w:val="22"/>
                <w:lang w:eastAsia="en-GB"/>
              </w:rPr>
              <w:t>(6.814)</w:t>
            </w:r>
          </w:p>
        </w:tc>
        <w:tc>
          <w:tcPr>
            <w:tcW w:w="1134" w:type="dxa"/>
          </w:tcPr>
          <w:p w14:paraId="400BDC12" w14:textId="77777777" w:rsidR="00B32E72" w:rsidRPr="005A674A" w:rsidRDefault="00B32E72" w:rsidP="00E24B57">
            <w:pPr>
              <w:autoSpaceDE w:val="0"/>
              <w:autoSpaceDN w:val="0"/>
              <w:adjustRightInd w:val="0"/>
              <w:ind w:right="103"/>
              <w:jc w:val="right"/>
              <w:rPr>
                <w:rFonts w:cs="Arial"/>
                <w:sz w:val="22"/>
                <w:szCs w:val="22"/>
                <w:lang w:eastAsia="en-GB"/>
              </w:rPr>
            </w:pPr>
            <w:r w:rsidRPr="005A674A">
              <w:rPr>
                <w:rFonts w:cs="Arial"/>
                <w:sz w:val="22"/>
                <w:szCs w:val="22"/>
                <w:lang w:eastAsia="en-GB"/>
              </w:rPr>
              <w:t>(6.814)</w:t>
            </w:r>
          </w:p>
        </w:tc>
      </w:tr>
      <w:tr w:rsidR="00B32E72" w:rsidRPr="005A674A" w14:paraId="4F2CA76D" w14:textId="77777777" w:rsidTr="00E24B57">
        <w:tc>
          <w:tcPr>
            <w:tcW w:w="2461" w:type="dxa"/>
          </w:tcPr>
          <w:p w14:paraId="6DE5EBAA" w14:textId="77777777" w:rsidR="00B32E72" w:rsidRPr="005A674A" w:rsidRDefault="00B32E72" w:rsidP="00E24B57">
            <w:pPr>
              <w:autoSpaceDE w:val="0"/>
              <w:autoSpaceDN w:val="0"/>
              <w:adjustRightInd w:val="0"/>
              <w:rPr>
                <w:rFonts w:cs="Arial"/>
                <w:b/>
                <w:sz w:val="22"/>
                <w:szCs w:val="22"/>
                <w:lang w:eastAsia="en-GB"/>
              </w:rPr>
            </w:pPr>
          </w:p>
        </w:tc>
        <w:tc>
          <w:tcPr>
            <w:tcW w:w="1134" w:type="dxa"/>
          </w:tcPr>
          <w:p w14:paraId="288ED7EA" w14:textId="77777777" w:rsidR="00B32E72" w:rsidRPr="005A674A" w:rsidRDefault="00B32E72" w:rsidP="00E24B57">
            <w:pPr>
              <w:autoSpaceDE w:val="0"/>
              <w:autoSpaceDN w:val="0"/>
              <w:adjustRightInd w:val="0"/>
              <w:rPr>
                <w:rFonts w:cs="Arial"/>
                <w:b/>
                <w:sz w:val="22"/>
                <w:szCs w:val="22"/>
                <w:highlight w:val="yellow"/>
                <w:lang w:eastAsia="en-GB"/>
              </w:rPr>
            </w:pPr>
          </w:p>
        </w:tc>
        <w:tc>
          <w:tcPr>
            <w:tcW w:w="1134" w:type="dxa"/>
          </w:tcPr>
          <w:p w14:paraId="0AFDE8EE" w14:textId="77777777" w:rsidR="00B32E72" w:rsidRPr="005A674A" w:rsidRDefault="00B32E72" w:rsidP="00E24B57">
            <w:pPr>
              <w:tabs>
                <w:tab w:val="center" w:pos="459"/>
                <w:tab w:val="right" w:pos="918"/>
              </w:tabs>
              <w:autoSpaceDE w:val="0"/>
              <w:autoSpaceDN w:val="0"/>
              <w:adjustRightInd w:val="0"/>
              <w:rPr>
                <w:rFonts w:cs="Arial"/>
                <w:b/>
                <w:sz w:val="22"/>
                <w:szCs w:val="22"/>
                <w:highlight w:val="yellow"/>
                <w:lang w:eastAsia="en-GB"/>
              </w:rPr>
            </w:pPr>
            <w:r w:rsidRPr="005A674A">
              <w:rPr>
                <w:rFonts w:cs="Arial"/>
                <w:b/>
                <w:sz w:val="22"/>
                <w:szCs w:val="22"/>
                <w:lang w:eastAsia="en-GB"/>
              </w:rPr>
              <w:tab/>
              <w:t>(0.421)</w:t>
            </w:r>
          </w:p>
        </w:tc>
        <w:tc>
          <w:tcPr>
            <w:tcW w:w="993" w:type="dxa"/>
          </w:tcPr>
          <w:p w14:paraId="49DD996C" w14:textId="77777777" w:rsidR="00B32E72" w:rsidRPr="005A674A" w:rsidRDefault="00B32E72" w:rsidP="00E24B57">
            <w:pPr>
              <w:autoSpaceDE w:val="0"/>
              <w:autoSpaceDN w:val="0"/>
              <w:adjustRightInd w:val="0"/>
              <w:jc w:val="right"/>
              <w:rPr>
                <w:rFonts w:cs="Arial"/>
                <w:b/>
                <w:sz w:val="22"/>
                <w:szCs w:val="22"/>
                <w:highlight w:val="yellow"/>
                <w:lang w:eastAsia="en-GB"/>
              </w:rPr>
            </w:pPr>
          </w:p>
        </w:tc>
        <w:tc>
          <w:tcPr>
            <w:tcW w:w="992" w:type="dxa"/>
          </w:tcPr>
          <w:p w14:paraId="5553AF75" w14:textId="77777777" w:rsidR="00B32E72" w:rsidRPr="005A674A" w:rsidRDefault="00B32E72" w:rsidP="00E24B57">
            <w:pPr>
              <w:autoSpaceDE w:val="0"/>
              <w:autoSpaceDN w:val="0"/>
              <w:adjustRightInd w:val="0"/>
              <w:jc w:val="right"/>
              <w:rPr>
                <w:rFonts w:cs="Arial"/>
                <w:b/>
                <w:sz w:val="22"/>
                <w:szCs w:val="22"/>
                <w:lang w:eastAsia="en-GB"/>
              </w:rPr>
            </w:pPr>
            <w:r w:rsidRPr="005A674A">
              <w:rPr>
                <w:rFonts w:cs="Arial"/>
                <w:b/>
                <w:sz w:val="22"/>
                <w:szCs w:val="22"/>
                <w:lang w:eastAsia="en-GB"/>
              </w:rPr>
              <w:t>(20.648)</w:t>
            </w:r>
          </w:p>
        </w:tc>
        <w:tc>
          <w:tcPr>
            <w:tcW w:w="1134" w:type="dxa"/>
          </w:tcPr>
          <w:p w14:paraId="067EF293" w14:textId="77777777" w:rsidR="00B32E72" w:rsidRPr="005A674A" w:rsidRDefault="00B32E72" w:rsidP="00E24B57">
            <w:pPr>
              <w:autoSpaceDE w:val="0"/>
              <w:autoSpaceDN w:val="0"/>
              <w:adjustRightInd w:val="0"/>
              <w:ind w:right="103"/>
              <w:jc w:val="right"/>
              <w:rPr>
                <w:rFonts w:cs="Arial"/>
                <w:b/>
                <w:sz w:val="22"/>
                <w:szCs w:val="22"/>
                <w:lang w:eastAsia="en-GB"/>
              </w:rPr>
            </w:pPr>
            <w:r w:rsidRPr="005A674A">
              <w:rPr>
                <w:rFonts w:cs="Arial"/>
                <w:b/>
                <w:sz w:val="22"/>
                <w:szCs w:val="22"/>
                <w:lang w:eastAsia="en-GB"/>
              </w:rPr>
              <w:t>(21.069)</w:t>
            </w:r>
          </w:p>
        </w:tc>
      </w:tr>
    </w:tbl>
    <w:p w14:paraId="7F1FD902" w14:textId="77777777" w:rsidR="00B32E72" w:rsidRPr="005A674A" w:rsidRDefault="00B32E72" w:rsidP="00B32E72"/>
    <w:p w14:paraId="59C62BDB" w14:textId="7E15C3A7" w:rsidR="006B2C84" w:rsidRPr="005A674A" w:rsidRDefault="00F9374E" w:rsidP="00F9374E">
      <w:pPr>
        <w:ind w:left="360"/>
        <w:jc w:val="both"/>
      </w:pPr>
      <w:r w:rsidRPr="005A674A">
        <w:t xml:space="preserve">With regards Council Tax, </w:t>
      </w:r>
      <w:r w:rsidR="00C078E6" w:rsidRPr="005A674A">
        <w:t>a large</w:t>
      </w:r>
      <w:r w:rsidR="00FF4EB5" w:rsidRPr="005A674A">
        <w:t>r</w:t>
      </w:r>
      <w:r w:rsidR="00C078E6" w:rsidRPr="005A674A">
        <w:t xml:space="preserve"> deficit would have materialised this year due </w:t>
      </w:r>
      <w:r w:rsidR="00E06F07" w:rsidRPr="005A674A">
        <w:t xml:space="preserve">to the large increase in working age households claiming council tax support compared to what </w:t>
      </w:r>
      <w:r w:rsidR="003F3912" w:rsidRPr="005A674A">
        <w:t>w</w:t>
      </w:r>
      <w:r w:rsidR="00E06F07" w:rsidRPr="005A674A">
        <w:t>as expected. However, this appears to have plateaued and even started to reduce slightly and has also been offset partly by better than expected property growth and better than anticipated collection performance which allowed the release of previously set aside bad debt provisions.</w:t>
      </w:r>
      <w:r w:rsidR="006B2C84" w:rsidRPr="005A674A">
        <w:t xml:space="preserve"> </w:t>
      </w:r>
      <w:r w:rsidR="00373B26" w:rsidRPr="005A674A">
        <w:t xml:space="preserve">Arrears continue to be almost 100% covered by bad </w:t>
      </w:r>
      <w:r w:rsidR="00373B26" w:rsidRPr="005A674A">
        <w:lastRenderedPageBreak/>
        <w:t>debt provisions therefore minimising risk.</w:t>
      </w:r>
      <w:r w:rsidR="00FE405E" w:rsidRPr="005A674A">
        <w:t xml:space="preserve"> </w:t>
      </w:r>
      <w:r w:rsidR="00AD1A5D" w:rsidRPr="005A674A">
        <w:t xml:space="preserve">The deficit </w:t>
      </w:r>
      <w:r w:rsidR="009822D2" w:rsidRPr="005A674A">
        <w:t>has largely been contained and could have been much worse considering the challenges over the last year.</w:t>
      </w:r>
    </w:p>
    <w:p w14:paraId="21C518B8" w14:textId="77777777" w:rsidR="006B2C84" w:rsidRPr="005A674A" w:rsidRDefault="006B2C84" w:rsidP="00F9374E">
      <w:pPr>
        <w:ind w:left="360"/>
        <w:jc w:val="both"/>
      </w:pPr>
    </w:p>
    <w:p w14:paraId="176C1FB9" w14:textId="697C646A" w:rsidR="005948C6" w:rsidRPr="005A674A" w:rsidRDefault="00F9374E" w:rsidP="00F9374E">
      <w:pPr>
        <w:ind w:left="360"/>
        <w:jc w:val="both"/>
        <w:outlineLvl w:val="1"/>
        <w:rPr>
          <w:rFonts w:cs="Arial"/>
          <w:szCs w:val="24"/>
        </w:rPr>
      </w:pPr>
      <w:proofErr w:type="gramStart"/>
      <w:r w:rsidRPr="005A674A">
        <w:rPr>
          <w:rFonts w:cs="Arial"/>
          <w:szCs w:val="24"/>
        </w:rPr>
        <w:t>The</w:t>
      </w:r>
      <w:r w:rsidR="00532615" w:rsidRPr="005A674A">
        <w:rPr>
          <w:rFonts w:cs="Arial"/>
          <w:szCs w:val="24"/>
        </w:rPr>
        <w:t xml:space="preserve"> majority of</w:t>
      </w:r>
      <w:proofErr w:type="gramEnd"/>
      <w:r w:rsidR="00532615" w:rsidRPr="005A674A">
        <w:rPr>
          <w:rFonts w:cs="Arial"/>
          <w:szCs w:val="24"/>
        </w:rPr>
        <w:t xml:space="preserve"> the</w:t>
      </w:r>
      <w:r w:rsidRPr="005A674A">
        <w:rPr>
          <w:rFonts w:cs="Arial"/>
          <w:szCs w:val="24"/>
        </w:rPr>
        <w:t xml:space="preserve"> Business Rates deficit occurred </w:t>
      </w:r>
      <w:r w:rsidR="00532615" w:rsidRPr="005A674A">
        <w:rPr>
          <w:rFonts w:cs="Arial"/>
          <w:szCs w:val="24"/>
        </w:rPr>
        <w:t>d</w:t>
      </w:r>
      <w:r w:rsidR="004D335E" w:rsidRPr="005A674A">
        <w:rPr>
          <w:rFonts w:cs="Arial"/>
          <w:szCs w:val="24"/>
        </w:rPr>
        <w:t xml:space="preserve">ue to </w:t>
      </w:r>
      <w:r w:rsidRPr="005A674A">
        <w:rPr>
          <w:rFonts w:cs="Arial"/>
          <w:szCs w:val="24"/>
        </w:rPr>
        <w:t>Central Government having elected to</w:t>
      </w:r>
      <w:r w:rsidR="005C2625" w:rsidRPr="005A674A">
        <w:rPr>
          <w:rFonts w:cs="Arial"/>
          <w:szCs w:val="24"/>
        </w:rPr>
        <w:t xml:space="preserve"> continue to </w:t>
      </w:r>
      <w:r w:rsidRPr="005A674A">
        <w:rPr>
          <w:rFonts w:cs="Arial"/>
          <w:szCs w:val="24"/>
        </w:rPr>
        <w:t xml:space="preserve">provide retail relief </w:t>
      </w:r>
      <w:r w:rsidR="00E06F07" w:rsidRPr="005A674A">
        <w:rPr>
          <w:rFonts w:cs="Arial"/>
          <w:szCs w:val="24"/>
        </w:rPr>
        <w:t xml:space="preserve">(post settlement announcement) </w:t>
      </w:r>
      <w:r w:rsidRPr="005A674A">
        <w:rPr>
          <w:rFonts w:cs="Arial"/>
          <w:szCs w:val="24"/>
        </w:rPr>
        <w:t>to business</w:t>
      </w:r>
      <w:r w:rsidR="005C2625" w:rsidRPr="005A674A">
        <w:rPr>
          <w:rFonts w:cs="Arial"/>
          <w:szCs w:val="24"/>
        </w:rPr>
        <w:t xml:space="preserve"> rate payers fo</w:t>
      </w:r>
      <w:r w:rsidRPr="005A674A">
        <w:rPr>
          <w:rFonts w:cs="Arial"/>
          <w:szCs w:val="24"/>
        </w:rPr>
        <w:t>r the financial year 202</w:t>
      </w:r>
      <w:r w:rsidR="00CC01E7" w:rsidRPr="005A674A">
        <w:rPr>
          <w:rFonts w:cs="Arial"/>
          <w:szCs w:val="24"/>
        </w:rPr>
        <w:t>1</w:t>
      </w:r>
      <w:r w:rsidRPr="005A674A">
        <w:rPr>
          <w:rFonts w:cs="Arial"/>
          <w:szCs w:val="24"/>
        </w:rPr>
        <w:t>/2</w:t>
      </w:r>
      <w:r w:rsidR="00CC01E7" w:rsidRPr="005A674A">
        <w:rPr>
          <w:rFonts w:cs="Arial"/>
          <w:szCs w:val="24"/>
        </w:rPr>
        <w:t>2</w:t>
      </w:r>
      <w:r w:rsidRPr="005A674A">
        <w:rPr>
          <w:rFonts w:cs="Arial"/>
          <w:szCs w:val="24"/>
        </w:rPr>
        <w:t>. Th</w:t>
      </w:r>
      <w:r w:rsidR="002B4101" w:rsidRPr="005A674A">
        <w:rPr>
          <w:rFonts w:cs="Arial"/>
          <w:szCs w:val="24"/>
        </w:rPr>
        <w:t>is</w:t>
      </w:r>
      <w:r w:rsidRPr="005A674A">
        <w:rPr>
          <w:rFonts w:cs="Arial"/>
          <w:szCs w:val="24"/>
        </w:rPr>
        <w:t xml:space="preserve"> </w:t>
      </w:r>
      <w:r w:rsidR="005C2625" w:rsidRPr="005A674A">
        <w:rPr>
          <w:rFonts w:cs="Arial"/>
          <w:szCs w:val="24"/>
        </w:rPr>
        <w:t>resulted in</w:t>
      </w:r>
      <w:r w:rsidRPr="005A674A">
        <w:rPr>
          <w:rFonts w:cs="Arial"/>
          <w:szCs w:val="24"/>
        </w:rPr>
        <w:t xml:space="preserve"> around 1,600 retail businesses </w:t>
      </w:r>
      <w:r w:rsidR="005C2625" w:rsidRPr="005A674A">
        <w:rPr>
          <w:rFonts w:cs="Arial"/>
          <w:szCs w:val="24"/>
        </w:rPr>
        <w:t>paying reduced</w:t>
      </w:r>
      <w:r w:rsidRPr="005A674A">
        <w:rPr>
          <w:rFonts w:cs="Arial"/>
          <w:szCs w:val="24"/>
        </w:rPr>
        <w:t xml:space="preserve"> business rates</w:t>
      </w:r>
      <w:r w:rsidR="005C2625" w:rsidRPr="005A674A">
        <w:rPr>
          <w:rFonts w:cs="Arial"/>
          <w:szCs w:val="24"/>
        </w:rPr>
        <w:t xml:space="preserve"> which</w:t>
      </w:r>
      <w:r w:rsidRPr="005A674A">
        <w:rPr>
          <w:rFonts w:cs="Arial"/>
          <w:szCs w:val="24"/>
        </w:rPr>
        <w:t xml:space="preserve"> impacted the yield and created a deficit of approximately £</w:t>
      </w:r>
      <w:r w:rsidR="00E06F07" w:rsidRPr="005A674A">
        <w:rPr>
          <w:rFonts w:cs="Arial"/>
          <w:szCs w:val="24"/>
        </w:rPr>
        <w:t>17.5</w:t>
      </w:r>
      <w:r w:rsidRPr="005A674A">
        <w:rPr>
          <w:rFonts w:cs="Arial"/>
          <w:szCs w:val="24"/>
        </w:rPr>
        <w:t>m</w:t>
      </w:r>
      <w:r w:rsidR="00FD4D5F" w:rsidRPr="005A674A">
        <w:rPr>
          <w:rFonts w:cs="Arial"/>
          <w:szCs w:val="24"/>
        </w:rPr>
        <w:t xml:space="preserve"> overal</w:t>
      </w:r>
      <w:r w:rsidR="00C03FB1" w:rsidRPr="005A674A">
        <w:rPr>
          <w:rFonts w:cs="Arial"/>
          <w:szCs w:val="24"/>
        </w:rPr>
        <w:t>l</w:t>
      </w:r>
      <w:r w:rsidRPr="005A674A">
        <w:rPr>
          <w:rFonts w:cs="Arial"/>
          <w:szCs w:val="24"/>
        </w:rPr>
        <w:t xml:space="preserve">. </w:t>
      </w:r>
      <w:r w:rsidR="0069602D" w:rsidRPr="005A674A">
        <w:rPr>
          <w:rFonts w:cs="Arial"/>
          <w:szCs w:val="24"/>
        </w:rPr>
        <w:t xml:space="preserve">The resulting deficit is due to Harrow’s rateable value continuing its historical </w:t>
      </w:r>
      <w:r w:rsidR="00C9097C" w:rsidRPr="005A674A">
        <w:rPr>
          <w:rFonts w:cs="Arial"/>
          <w:szCs w:val="24"/>
        </w:rPr>
        <w:t xml:space="preserve">yearly </w:t>
      </w:r>
      <w:r w:rsidR="0069602D" w:rsidRPr="005A674A">
        <w:rPr>
          <w:rFonts w:cs="Arial"/>
          <w:szCs w:val="24"/>
        </w:rPr>
        <w:t xml:space="preserve">reductions </w:t>
      </w:r>
      <w:r w:rsidR="00C9097C" w:rsidRPr="005A674A">
        <w:rPr>
          <w:rFonts w:cs="Arial"/>
          <w:szCs w:val="24"/>
        </w:rPr>
        <w:t>which has seen the overall rateable value reduce by approximately £2m</w:t>
      </w:r>
      <w:r w:rsidR="00912701" w:rsidRPr="005A674A">
        <w:rPr>
          <w:rFonts w:cs="Arial"/>
          <w:szCs w:val="24"/>
        </w:rPr>
        <w:t xml:space="preserve"> or </w:t>
      </w:r>
      <w:r w:rsidR="00800916" w:rsidRPr="005A674A">
        <w:rPr>
          <w:rFonts w:cs="Arial"/>
          <w:szCs w:val="24"/>
        </w:rPr>
        <w:t>1.5%</w:t>
      </w:r>
      <w:r w:rsidR="00CE2841" w:rsidRPr="005A674A">
        <w:rPr>
          <w:rFonts w:cs="Arial"/>
          <w:szCs w:val="24"/>
        </w:rPr>
        <w:t xml:space="preserve"> in the past 12 months</w:t>
      </w:r>
      <w:r w:rsidR="00800916" w:rsidRPr="005A674A">
        <w:rPr>
          <w:rFonts w:cs="Arial"/>
          <w:szCs w:val="24"/>
        </w:rPr>
        <w:t>.</w:t>
      </w:r>
      <w:r w:rsidR="0069602D" w:rsidRPr="005A674A">
        <w:rPr>
          <w:rFonts w:cs="Arial"/>
          <w:szCs w:val="24"/>
        </w:rPr>
        <w:t xml:space="preserve"> </w:t>
      </w:r>
    </w:p>
    <w:p w14:paraId="54883180" w14:textId="77777777" w:rsidR="005948C6" w:rsidRPr="005A674A" w:rsidRDefault="005948C6" w:rsidP="00F9374E">
      <w:pPr>
        <w:ind w:left="360"/>
        <w:jc w:val="both"/>
        <w:outlineLvl w:val="1"/>
        <w:rPr>
          <w:rFonts w:cs="Arial"/>
          <w:szCs w:val="24"/>
        </w:rPr>
      </w:pPr>
    </w:p>
    <w:p w14:paraId="6486C734" w14:textId="58B11406" w:rsidR="00F9374E" w:rsidRPr="005A674A" w:rsidRDefault="0069602D" w:rsidP="00F9374E">
      <w:pPr>
        <w:ind w:left="360"/>
        <w:jc w:val="both"/>
        <w:outlineLvl w:val="1"/>
        <w:rPr>
          <w:rFonts w:cs="Arial"/>
          <w:szCs w:val="24"/>
        </w:rPr>
      </w:pPr>
      <w:r w:rsidRPr="005A674A">
        <w:rPr>
          <w:rFonts w:cs="Arial"/>
          <w:szCs w:val="24"/>
        </w:rPr>
        <w:t xml:space="preserve">Regarding retail relief, </w:t>
      </w:r>
      <w:r w:rsidR="00F9374E" w:rsidRPr="005A674A">
        <w:rPr>
          <w:rFonts w:cs="Arial"/>
          <w:szCs w:val="24"/>
        </w:rPr>
        <w:t xml:space="preserve">Central Government </w:t>
      </w:r>
      <w:r w:rsidR="00791FB1" w:rsidRPr="005A674A">
        <w:rPr>
          <w:rFonts w:cs="Arial"/>
          <w:szCs w:val="24"/>
        </w:rPr>
        <w:t xml:space="preserve">will pay an additional s31 </w:t>
      </w:r>
      <w:r w:rsidR="00F9374E" w:rsidRPr="005A674A">
        <w:rPr>
          <w:rFonts w:cs="Arial"/>
          <w:szCs w:val="24"/>
        </w:rPr>
        <w:t>grant</w:t>
      </w:r>
      <w:r w:rsidR="00791AE2" w:rsidRPr="005A674A">
        <w:rPr>
          <w:rFonts w:cs="Arial"/>
          <w:szCs w:val="24"/>
        </w:rPr>
        <w:t xml:space="preserve"> to compensate for this loss</w:t>
      </w:r>
      <w:r w:rsidR="00FD4D5F" w:rsidRPr="005A674A">
        <w:rPr>
          <w:rFonts w:cs="Arial"/>
          <w:szCs w:val="24"/>
        </w:rPr>
        <w:t xml:space="preserve"> in yield</w:t>
      </w:r>
      <w:r w:rsidR="00F9374E" w:rsidRPr="005A674A">
        <w:rPr>
          <w:rFonts w:cs="Arial"/>
          <w:szCs w:val="24"/>
        </w:rPr>
        <w:t>,</w:t>
      </w:r>
      <w:r w:rsidR="00E6535E" w:rsidRPr="005A674A">
        <w:rPr>
          <w:rFonts w:cs="Arial"/>
          <w:szCs w:val="24"/>
        </w:rPr>
        <w:t xml:space="preserve"> </w:t>
      </w:r>
      <w:r w:rsidR="00F9374E" w:rsidRPr="005A674A">
        <w:rPr>
          <w:rFonts w:cs="Arial"/>
          <w:szCs w:val="24"/>
        </w:rPr>
        <w:t xml:space="preserve"> so whilst the general fund will be paying the Harrow proportion of the loss, this </w:t>
      </w:r>
      <w:r w:rsidR="005C2625" w:rsidRPr="005A674A">
        <w:rPr>
          <w:rFonts w:cs="Arial"/>
          <w:szCs w:val="24"/>
        </w:rPr>
        <w:t xml:space="preserve">is almost all </w:t>
      </w:r>
      <w:r w:rsidR="00F9374E" w:rsidRPr="005A674A">
        <w:rPr>
          <w:rFonts w:cs="Arial"/>
          <w:szCs w:val="24"/>
        </w:rPr>
        <w:t xml:space="preserve">offset by the </w:t>
      </w:r>
      <w:r w:rsidR="006B7957" w:rsidRPr="005A674A">
        <w:rPr>
          <w:rFonts w:cs="Arial"/>
          <w:szCs w:val="24"/>
        </w:rPr>
        <w:t>additional estimated £</w:t>
      </w:r>
      <w:r w:rsidR="005C2625" w:rsidRPr="005A674A">
        <w:rPr>
          <w:rFonts w:cs="Arial"/>
          <w:szCs w:val="24"/>
        </w:rPr>
        <w:t>5.25</w:t>
      </w:r>
      <w:r w:rsidR="006B7957" w:rsidRPr="005A674A">
        <w:rPr>
          <w:rFonts w:cs="Arial"/>
          <w:szCs w:val="24"/>
        </w:rPr>
        <w:t xml:space="preserve">m s31 </w:t>
      </w:r>
      <w:r w:rsidR="00F9374E" w:rsidRPr="005A674A">
        <w:rPr>
          <w:rFonts w:cs="Arial"/>
          <w:szCs w:val="24"/>
        </w:rPr>
        <w:t xml:space="preserve">grant leaving Harrow </w:t>
      </w:r>
      <w:r w:rsidR="006B2C84" w:rsidRPr="005A674A">
        <w:rPr>
          <w:rFonts w:cs="Arial"/>
          <w:szCs w:val="24"/>
        </w:rPr>
        <w:t>only slightly worse off</w:t>
      </w:r>
      <w:r w:rsidR="00F9374E" w:rsidRPr="005A674A">
        <w:rPr>
          <w:rFonts w:cs="Arial"/>
          <w:szCs w:val="24"/>
        </w:rPr>
        <w:t>.</w:t>
      </w:r>
      <w:r w:rsidR="006B2C84" w:rsidRPr="005A674A">
        <w:rPr>
          <w:rFonts w:cs="Arial"/>
          <w:szCs w:val="24"/>
        </w:rPr>
        <w:t xml:space="preserve"> The table below sets out how the deficit is expected to be funded.</w:t>
      </w:r>
    </w:p>
    <w:p w14:paraId="37DB3C80" w14:textId="7F07C625" w:rsidR="005C2625" w:rsidRPr="005A674A" w:rsidRDefault="005C2625" w:rsidP="00F9374E">
      <w:pPr>
        <w:ind w:left="360"/>
        <w:jc w:val="both"/>
        <w:outlineLvl w:val="1"/>
        <w:rPr>
          <w:rFonts w:cs="Arial"/>
          <w:szCs w:val="24"/>
        </w:rPr>
      </w:pPr>
    </w:p>
    <w:p w14:paraId="0208BB60" w14:textId="08F89CBC" w:rsidR="002D07CF" w:rsidRPr="005A674A" w:rsidRDefault="00034D9B" w:rsidP="002D07CF">
      <w:r w:rsidRPr="005A674A">
        <w:t xml:space="preserve">     </w:t>
      </w:r>
      <w:r w:rsidR="009F2A61" w:rsidRPr="005A674A">
        <w:t xml:space="preserve"> </w:t>
      </w:r>
      <w:r w:rsidRPr="005A674A">
        <w:t>Table 2a</w:t>
      </w:r>
    </w:p>
    <w:tbl>
      <w:tblPr>
        <w:tblStyle w:val="TableGrid"/>
        <w:tblW w:w="0" w:type="auto"/>
        <w:tblInd w:w="421" w:type="dxa"/>
        <w:tblLook w:val="04A0" w:firstRow="1" w:lastRow="0" w:firstColumn="1" w:lastColumn="0" w:noHBand="0" w:noVBand="1"/>
      </w:tblPr>
      <w:tblGrid>
        <w:gridCol w:w="3872"/>
        <w:gridCol w:w="1133"/>
        <w:gridCol w:w="1373"/>
        <w:gridCol w:w="1500"/>
      </w:tblGrid>
      <w:tr w:rsidR="005A674A" w:rsidRPr="005A674A" w14:paraId="368380F5" w14:textId="77777777" w:rsidTr="00BD7FA9">
        <w:tc>
          <w:tcPr>
            <w:tcW w:w="3872" w:type="dxa"/>
            <w:shd w:val="clear" w:color="auto" w:fill="D9D9D9" w:themeFill="background1" w:themeFillShade="D9"/>
          </w:tcPr>
          <w:p w14:paraId="5F249710" w14:textId="77777777" w:rsidR="00251FEC" w:rsidRPr="005A674A" w:rsidRDefault="00BD7FA9" w:rsidP="006E6C2D">
            <w:r w:rsidRPr="005A674A">
              <w:t xml:space="preserve">Collection Fund Liabilities re 2021/22 </w:t>
            </w:r>
          </w:p>
          <w:p w14:paraId="24090773" w14:textId="65CCC24B" w:rsidR="00BD7FA9" w:rsidRPr="005A674A" w:rsidRDefault="00251FEC" w:rsidP="006E6C2D">
            <w:r w:rsidRPr="005A674A">
              <w:rPr>
                <w:rFonts w:cs="Arial"/>
                <w:sz w:val="18"/>
                <w:szCs w:val="18"/>
              </w:rPr>
              <w:t xml:space="preserve">To be paid into Collection Fund to cover Harrow’s share of the deficit of £6.537m in 2022/23 </w:t>
            </w:r>
            <w:proofErr w:type="gramStart"/>
            <w:r w:rsidRPr="005A674A">
              <w:rPr>
                <w:rFonts w:cs="Arial"/>
                <w:sz w:val="18"/>
                <w:szCs w:val="18"/>
              </w:rPr>
              <w:t>taking into account</w:t>
            </w:r>
            <w:proofErr w:type="gramEnd"/>
            <w:r w:rsidRPr="005A674A">
              <w:rPr>
                <w:rFonts w:cs="Arial"/>
                <w:sz w:val="18"/>
                <w:szCs w:val="18"/>
              </w:rPr>
              <w:t xml:space="preserve"> mandatory spreading</w:t>
            </w:r>
          </w:p>
        </w:tc>
        <w:tc>
          <w:tcPr>
            <w:tcW w:w="1133" w:type="dxa"/>
            <w:shd w:val="clear" w:color="auto" w:fill="D9D9D9" w:themeFill="background1" w:themeFillShade="D9"/>
          </w:tcPr>
          <w:p w14:paraId="096F9BC1" w14:textId="7736B230" w:rsidR="00BD7FA9" w:rsidRPr="005A674A" w:rsidRDefault="00BD7FA9" w:rsidP="006E6C2D">
            <w:pPr>
              <w:rPr>
                <w:sz w:val="20"/>
              </w:rPr>
            </w:pPr>
            <w:r w:rsidRPr="005A674A">
              <w:rPr>
                <w:sz w:val="20"/>
              </w:rPr>
              <w:t>202</w:t>
            </w:r>
            <w:r w:rsidR="000402D5" w:rsidRPr="005A674A">
              <w:rPr>
                <w:sz w:val="20"/>
              </w:rPr>
              <w:t>1</w:t>
            </w:r>
            <w:r w:rsidRPr="005A674A">
              <w:rPr>
                <w:sz w:val="20"/>
              </w:rPr>
              <w:t>/2</w:t>
            </w:r>
            <w:r w:rsidR="000402D5" w:rsidRPr="005A674A">
              <w:rPr>
                <w:sz w:val="20"/>
              </w:rPr>
              <w:t>2</w:t>
            </w:r>
            <w:r w:rsidR="00251FEC" w:rsidRPr="005A674A">
              <w:rPr>
                <w:sz w:val="20"/>
              </w:rPr>
              <w:t xml:space="preserve"> Deficit </w:t>
            </w:r>
            <w:r w:rsidRPr="005A674A">
              <w:rPr>
                <w:sz w:val="20"/>
              </w:rPr>
              <w:t xml:space="preserve">  Figures</w:t>
            </w:r>
          </w:p>
        </w:tc>
        <w:tc>
          <w:tcPr>
            <w:tcW w:w="1373" w:type="dxa"/>
            <w:shd w:val="clear" w:color="auto" w:fill="D9D9D9" w:themeFill="background1" w:themeFillShade="D9"/>
          </w:tcPr>
          <w:p w14:paraId="19B6DE7B" w14:textId="77777777" w:rsidR="00BD7FA9" w:rsidRPr="005A674A" w:rsidRDefault="00BD7FA9" w:rsidP="006E6C2D">
            <w:pPr>
              <w:rPr>
                <w:sz w:val="20"/>
              </w:rPr>
            </w:pPr>
            <w:r w:rsidRPr="005A674A">
              <w:rPr>
                <w:sz w:val="20"/>
              </w:rPr>
              <w:t>Less spreading adjustment</w:t>
            </w:r>
          </w:p>
        </w:tc>
        <w:tc>
          <w:tcPr>
            <w:tcW w:w="1500" w:type="dxa"/>
            <w:shd w:val="clear" w:color="auto" w:fill="D9D9D9" w:themeFill="background1" w:themeFillShade="D9"/>
          </w:tcPr>
          <w:p w14:paraId="1781E456" w14:textId="121AB579" w:rsidR="00BD7FA9" w:rsidRPr="005A674A" w:rsidRDefault="00BD7FA9" w:rsidP="006E6C2D">
            <w:pPr>
              <w:rPr>
                <w:sz w:val="20"/>
              </w:rPr>
            </w:pPr>
            <w:r w:rsidRPr="005A674A">
              <w:rPr>
                <w:sz w:val="20"/>
              </w:rPr>
              <w:t>To be paid into collection fund in 202</w:t>
            </w:r>
            <w:r w:rsidR="00192816" w:rsidRPr="005A674A">
              <w:rPr>
                <w:sz w:val="20"/>
              </w:rPr>
              <w:t>2</w:t>
            </w:r>
            <w:r w:rsidRPr="005A674A">
              <w:rPr>
                <w:sz w:val="20"/>
              </w:rPr>
              <w:t>/2</w:t>
            </w:r>
            <w:r w:rsidR="00192816" w:rsidRPr="005A674A">
              <w:rPr>
                <w:sz w:val="20"/>
              </w:rPr>
              <w:t>3</w:t>
            </w:r>
          </w:p>
        </w:tc>
      </w:tr>
      <w:tr w:rsidR="005A674A" w:rsidRPr="005A674A" w14:paraId="40E20269" w14:textId="77777777" w:rsidTr="00BD7FA9">
        <w:tc>
          <w:tcPr>
            <w:tcW w:w="3872" w:type="dxa"/>
            <w:shd w:val="clear" w:color="auto" w:fill="D9D9D9" w:themeFill="background1" w:themeFillShade="D9"/>
          </w:tcPr>
          <w:p w14:paraId="36C17B9B" w14:textId="5D0E7612" w:rsidR="00BD7FA9" w:rsidRPr="005A674A" w:rsidRDefault="00BD7FA9" w:rsidP="006E6C2D">
            <w:pPr>
              <w:rPr>
                <w:rFonts w:cs="Arial"/>
                <w:sz w:val="18"/>
                <w:szCs w:val="18"/>
              </w:rPr>
            </w:pPr>
            <w:r w:rsidRPr="005A674A">
              <w:rPr>
                <w:rFonts w:cs="Arial"/>
                <w:sz w:val="18"/>
                <w:szCs w:val="18"/>
              </w:rPr>
              <w:t>NDR – Deficit as per this Cabinet report</w:t>
            </w:r>
          </w:p>
        </w:tc>
        <w:tc>
          <w:tcPr>
            <w:tcW w:w="1133" w:type="dxa"/>
          </w:tcPr>
          <w:p w14:paraId="37AFB5E3" w14:textId="12B422EC" w:rsidR="00BD7FA9" w:rsidRPr="005A674A" w:rsidRDefault="00C24DA6" w:rsidP="006E6C2D">
            <w:pPr>
              <w:jc w:val="right"/>
              <w:rPr>
                <w:sz w:val="20"/>
              </w:rPr>
            </w:pPr>
            <w:r w:rsidRPr="005A674A">
              <w:rPr>
                <w:sz w:val="20"/>
              </w:rPr>
              <w:t>£</w:t>
            </w:r>
            <w:r w:rsidR="00BD7FA9" w:rsidRPr="005A674A">
              <w:rPr>
                <w:sz w:val="20"/>
              </w:rPr>
              <w:t>6.194m</w:t>
            </w:r>
          </w:p>
        </w:tc>
        <w:tc>
          <w:tcPr>
            <w:tcW w:w="1373" w:type="dxa"/>
          </w:tcPr>
          <w:p w14:paraId="6AE1915D" w14:textId="2799F3CD" w:rsidR="00BD7FA9" w:rsidRPr="005A674A" w:rsidRDefault="00C24DA6" w:rsidP="006E6C2D">
            <w:pPr>
              <w:jc w:val="right"/>
              <w:rPr>
                <w:sz w:val="20"/>
              </w:rPr>
            </w:pPr>
            <w:r w:rsidRPr="005A674A">
              <w:rPr>
                <w:sz w:val="20"/>
              </w:rPr>
              <w:t>£</w:t>
            </w:r>
            <w:r w:rsidR="00BD7FA9" w:rsidRPr="005A674A">
              <w:rPr>
                <w:sz w:val="20"/>
              </w:rPr>
              <w:t>0.303m</w:t>
            </w:r>
          </w:p>
        </w:tc>
        <w:tc>
          <w:tcPr>
            <w:tcW w:w="1500" w:type="dxa"/>
          </w:tcPr>
          <w:p w14:paraId="6A929D0F" w14:textId="7C47A19B" w:rsidR="00BD7FA9" w:rsidRPr="005A674A" w:rsidRDefault="00C24DA6" w:rsidP="006E6C2D">
            <w:pPr>
              <w:jc w:val="right"/>
              <w:rPr>
                <w:sz w:val="20"/>
              </w:rPr>
            </w:pPr>
            <w:r w:rsidRPr="005A674A">
              <w:rPr>
                <w:sz w:val="20"/>
              </w:rPr>
              <w:t>£</w:t>
            </w:r>
            <w:r w:rsidR="00BD7FA9" w:rsidRPr="005A674A">
              <w:rPr>
                <w:sz w:val="20"/>
              </w:rPr>
              <w:t>5.891m</w:t>
            </w:r>
          </w:p>
        </w:tc>
      </w:tr>
      <w:tr w:rsidR="005A674A" w:rsidRPr="005A674A" w14:paraId="66502718" w14:textId="77777777" w:rsidTr="00BD7FA9">
        <w:tc>
          <w:tcPr>
            <w:tcW w:w="3872" w:type="dxa"/>
            <w:shd w:val="clear" w:color="auto" w:fill="D9D9D9" w:themeFill="background1" w:themeFillShade="D9"/>
          </w:tcPr>
          <w:p w14:paraId="398344BF" w14:textId="07EB41AC" w:rsidR="00BD7FA9" w:rsidRPr="005A674A" w:rsidRDefault="00BD7FA9" w:rsidP="006E6C2D">
            <w:pPr>
              <w:pStyle w:val="ListParagraph"/>
              <w:ind w:left="0"/>
              <w:outlineLvl w:val="1"/>
              <w:rPr>
                <w:rFonts w:cs="Arial"/>
                <w:sz w:val="18"/>
                <w:szCs w:val="18"/>
              </w:rPr>
            </w:pPr>
            <w:r w:rsidRPr="005A674A">
              <w:rPr>
                <w:rFonts w:cs="Arial"/>
                <w:sz w:val="18"/>
                <w:szCs w:val="18"/>
              </w:rPr>
              <w:t xml:space="preserve">CTAX – </w:t>
            </w:r>
            <w:r w:rsidR="005470C7" w:rsidRPr="005A674A">
              <w:rPr>
                <w:rFonts w:cs="Arial"/>
                <w:sz w:val="18"/>
                <w:szCs w:val="18"/>
              </w:rPr>
              <w:t>Deficit</w:t>
            </w:r>
            <w:r w:rsidRPr="005A674A">
              <w:rPr>
                <w:rFonts w:cs="Arial"/>
                <w:sz w:val="18"/>
                <w:szCs w:val="18"/>
              </w:rPr>
              <w:t xml:space="preserve"> as per </w:t>
            </w:r>
            <w:r w:rsidR="00D4033A" w:rsidRPr="005A674A">
              <w:rPr>
                <w:rFonts w:cs="Arial"/>
                <w:sz w:val="18"/>
                <w:szCs w:val="18"/>
              </w:rPr>
              <w:t>this</w:t>
            </w:r>
            <w:r w:rsidRPr="005A674A">
              <w:rPr>
                <w:rFonts w:cs="Arial"/>
                <w:sz w:val="18"/>
                <w:szCs w:val="18"/>
              </w:rPr>
              <w:t xml:space="preserve"> Cabinet report</w:t>
            </w:r>
          </w:p>
        </w:tc>
        <w:tc>
          <w:tcPr>
            <w:tcW w:w="1133" w:type="dxa"/>
          </w:tcPr>
          <w:p w14:paraId="7BF11B9D" w14:textId="23AC648B" w:rsidR="00BD7FA9" w:rsidRPr="005A674A" w:rsidRDefault="00BD7FA9" w:rsidP="006E6C2D">
            <w:pPr>
              <w:jc w:val="right"/>
              <w:rPr>
                <w:sz w:val="20"/>
              </w:rPr>
            </w:pPr>
            <w:r w:rsidRPr="005A674A">
              <w:rPr>
                <w:sz w:val="20"/>
              </w:rPr>
              <w:t xml:space="preserve">     </w:t>
            </w:r>
            <w:r w:rsidR="00C24DA6" w:rsidRPr="005A674A">
              <w:rPr>
                <w:sz w:val="20"/>
              </w:rPr>
              <w:t>£</w:t>
            </w:r>
            <w:r w:rsidRPr="005A674A">
              <w:rPr>
                <w:sz w:val="20"/>
              </w:rPr>
              <w:t>0.343m</w:t>
            </w:r>
          </w:p>
        </w:tc>
        <w:tc>
          <w:tcPr>
            <w:tcW w:w="1373" w:type="dxa"/>
          </w:tcPr>
          <w:p w14:paraId="041A6701" w14:textId="77777777" w:rsidR="00BD7FA9" w:rsidRPr="005A674A" w:rsidRDefault="00BD7FA9" w:rsidP="006E6C2D">
            <w:pPr>
              <w:jc w:val="right"/>
              <w:rPr>
                <w:sz w:val="20"/>
              </w:rPr>
            </w:pPr>
          </w:p>
          <w:p w14:paraId="6BBD5A22" w14:textId="582AC801" w:rsidR="00BD7FA9" w:rsidRPr="005A674A" w:rsidRDefault="00C24DA6" w:rsidP="006E6C2D">
            <w:pPr>
              <w:jc w:val="right"/>
              <w:rPr>
                <w:sz w:val="20"/>
              </w:rPr>
            </w:pPr>
            <w:r w:rsidRPr="005A674A">
              <w:rPr>
                <w:sz w:val="20"/>
              </w:rPr>
              <w:t>£</w:t>
            </w:r>
            <w:r w:rsidR="00BD7FA9" w:rsidRPr="005A674A">
              <w:rPr>
                <w:sz w:val="20"/>
              </w:rPr>
              <w:t>0.090m</w:t>
            </w:r>
          </w:p>
        </w:tc>
        <w:tc>
          <w:tcPr>
            <w:tcW w:w="1500" w:type="dxa"/>
          </w:tcPr>
          <w:p w14:paraId="4A317CC3" w14:textId="12C61764" w:rsidR="00BD7FA9" w:rsidRPr="005A674A" w:rsidRDefault="00BD7FA9" w:rsidP="006E6C2D">
            <w:pPr>
              <w:jc w:val="right"/>
              <w:rPr>
                <w:sz w:val="20"/>
              </w:rPr>
            </w:pPr>
          </w:p>
          <w:p w14:paraId="547C04F5" w14:textId="630FAFF1" w:rsidR="00BD7FA9" w:rsidRPr="005A674A" w:rsidRDefault="00C24DA6" w:rsidP="006E6C2D">
            <w:pPr>
              <w:jc w:val="right"/>
              <w:rPr>
                <w:sz w:val="20"/>
              </w:rPr>
            </w:pPr>
            <w:r w:rsidRPr="005A674A">
              <w:rPr>
                <w:sz w:val="20"/>
              </w:rPr>
              <w:t>£</w:t>
            </w:r>
            <w:r w:rsidR="00BD7FA9" w:rsidRPr="005A674A">
              <w:rPr>
                <w:sz w:val="20"/>
              </w:rPr>
              <w:t>0.253m</w:t>
            </w:r>
          </w:p>
          <w:p w14:paraId="5A37AD2E" w14:textId="3C9D7FFE" w:rsidR="00BD7FA9" w:rsidRPr="005A674A" w:rsidRDefault="00BD7FA9" w:rsidP="006E6C2D">
            <w:pPr>
              <w:jc w:val="right"/>
              <w:rPr>
                <w:sz w:val="20"/>
              </w:rPr>
            </w:pPr>
          </w:p>
        </w:tc>
      </w:tr>
      <w:tr w:rsidR="005A674A" w:rsidRPr="005A674A" w14:paraId="5A5EAB12" w14:textId="77777777" w:rsidTr="00BD7FA9">
        <w:trPr>
          <w:trHeight w:val="353"/>
        </w:trPr>
        <w:tc>
          <w:tcPr>
            <w:tcW w:w="3872" w:type="dxa"/>
            <w:shd w:val="clear" w:color="auto" w:fill="D9D9D9" w:themeFill="background1" w:themeFillShade="D9"/>
          </w:tcPr>
          <w:p w14:paraId="2BF8BAC8" w14:textId="77777777" w:rsidR="00BD7FA9" w:rsidRPr="005A674A" w:rsidRDefault="00BD7FA9" w:rsidP="006E6C2D">
            <w:pPr>
              <w:pStyle w:val="ListParagraph"/>
              <w:ind w:left="0"/>
              <w:outlineLvl w:val="1"/>
              <w:rPr>
                <w:rFonts w:cs="Arial"/>
                <w:sz w:val="18"/>
                <w:szCs w:val="18"/>
              </w:rPr>
            </w:pPr>
          </w:p>
        </w:tc>
        <w:tc>
          <w:tcPr>
            <w:tcW w:w="1133" w:type="dxa"/>
          </w:tcPr>
          <w:p w14:paraId="00225630" w14:textId="77777777" w:rsidR="00BD7FA9" w:rsidRPr="005A674A" w:rsidRDefault="00BD7FA9" w:rsidP="006E6C2D">
            <w:pPr>
              <w:jc w:val="right"/>
              <w:rPr>
                <w:sz w:val="20"/>
              </w:rPr>
            </w:pPr>
          </w:p>
        </w:tc>
        <w:tc>
          <w:tcPr>
            <w:tcW w:w="1373" w:type="dxa"/>
          </w:tcPr>
          <w:p w14:paraId="40512683" w14:textId="77777777" w:rsidR="00BD7FA9" w:rsidRPr="005A674A" w:rsidRDefault="00BD7FA9" w:rsidP="006E6C2D">
            <w:pPr>
              <w:jc w:val="right"/>
              <w:rPr>
                <w:sz w:val="20"/>
              </w:rPr>
            </w:pPr>
          </w:p>
        </w:tc>
        <w:tc>
          <w:tcPr>
            <w:tcW w:w="1500" w:type="dxa"/>
          </w:tcPr>
          <w:p w14:paraId="043F367A" w14:textId="77777777" w:rsidR="00BD7FA9" w:rsidRPr="005A674A" w:rsidRDefault="00BD7FA9" w:rsidP="006E6C2D">
            <w:pPr>
              <w:jc w:val="right"/>
              <w:rPr>
                <w:sz w:val="20"/>
              </w:rPr>
            </w:pPr>
          </w:p>
        </w:tc>
      </w:tr>
      <w:tr w:rsidR="005A674A" w:rsidRPr="005A674A" w14:paraId="1795F979" w14:textId="77777777" w:rsidTr="00BD7FA9">
        <w:tc>
          <w:tcPr>
            <w:tcW w:w="3872" w:type="dxa"/>
            <w:shd w:val="clear" w:color="auto" w:fill="D9D9D9" w:themeFill="background1" w:themeFillShade="D9"/>
          </w:tcPr>
          <w:p w14:paraId="7CD5C274" w14:textId="77777777" w:rsidR="00BD7FA9" w:rsidRPr="005A674A" w:rsidRDefault="00BD7FA9" w:rsidP="006E6C2D">
            <w:pPr>
              <w:pStyle w:val="ListParagraph"/>
              <w:ind w:left="0"/>
              <w:outlineLvl w:val="1"/>
              <w:rPr>
                <w:rFonts w:cs="Arial"/>
                <w:sz w:val="18"/>
                <w:szCs w:val="18"/>
              </w:rPr>
            </w:pPr>
            <w:r w:rsidRPr="005A674A">
              <w:rPr>
                <w:rFonts w:cs="Arial"/>
                <w:sz w:val="18"/>
                <w:szCs w:val="18"/>
              </w:rPr>
              <w:t>Total</w:t>
            </w:r>
          </w:p>
        </w:tc>
        <w:tc>
          <w:tcPr>
            <w:tcW w:w="1133" w:type="dxa"/>
          </w:tcPr>
          <w:p w14:paraId="2F91D214" w14:textId="1E991276" w:rsidR="00BD7FA9" w:rsidRPr="005A674A" w:rsidRDefault="00BD7FA9" w:rsidP="006E6C2D">
            <w:pPr>
              <w:jc w:val="right"/>
              <w:rPr>
                <w:sz w:val="20"/>
              </w:rPr>
            </w:pPr>
          </w:p>
        </w:tc>
        <w:tc>
          <w:tcPr>
            <w:tcW w:w="1373" w:type="dxa"/>
          </w:tcPr>
          <w:p w14:paraId="08351F83" w14:textId="7ACDD4D9" w:rsidR="00BD7FA9" w:rsidRPr="005A674A" w:rsidRDefault="00BD7FA9" w:rsidP="006E6C2D">
            <w:pPr>
              <w:jc w:val="right"/>
              <w:rPr>
                <w:sz w:val="20"/>
              </w:rPr>
            </w:pPr>
          </w:p>
        </w:tc>
        <w:tc>
          <w:tcPr>
            <w:tcW w:w="1500" w:type="dxa"/>
          </w:tcPr>
          <w:p w14:paraId="79069AAF" w14:textId="6BDD9B79" w:rsidR="00BD7FA9" w:rsidRPr="005A674A" w:rsidRDefault="00C24DA6" w:rsidP="006E6C2D">
            <w:pPr>
              <w:jc w:val="right"/>
              <w:rPr>
                <w:sz w:val="20"/>
              </w:rPr>
            </w:pPr>
            <w:r w:rsidRPr="005A674A">
              <w:rPr>
                <w:sz w:val="20"/>
              </w:rPr>
              <w:t>£</w:t>
            </w:r>
            <w:r w:rsidR="00BD7FA9" w:rsidRPr="005A674A">
              <w:rPr>
                <w:sz w:val="20"/>
              </w:rPr>
              <w:t>6.144m</w:t>
            </w:r>
          </w:p>
        </w:tc>
      </w:tr>
    </w:tbl>
    <w:p w14:paraId="6F9052E6" w14:textId="77777777" w:rsidR="002D07CF" w:rsidRPr="005A674A" w:rsidRDefault="002D07CF" w:rsidP="002D07CF"/>
    <w:p w14:paraId="0EC92763" w14:textId="6A3C0F0B" w:rsidR="002D07CF" w:rsidRPr="005A674A" w:rsidRDefault="009F2A61" w:rsidP="002D07CF">
      <w:pPr>
        <w:ind w:left="360"/>
      </w:pPr>
      <w:r w:rsidRPr="005A674A">
        <w:t xml:space="preserve"> </w:t>
      </w:r>
      <w:r w:rsidR="00034D9B" w:rsidRPr="005A674A">
        <w:t>Table 2b</w:t>
      </w:r>
    </w:p>
    <w:tbl>
      <w:tblPr>
        <w:tblStyle w:val="TableGrid"/>
        <w:tblW w:w="7938" w:type="dxa"/>
        <w:tblInd w:w="421" w:type="dxa"/>
        <w:tblLook w:val="04A0" w:firstRow="1" w:lastRow="0" w:firstColumn="1" w:lastColumn="0" w:noHBand="0" w:noVBand="1"/>
      </w:tblPr>
      <w:tblGrid>
        <w:gridCol w:w="2089"/>
        <w:gridCol w:w="3014"/>
        <w:gridCol w:w="1275"/>
        <w:gridCol w:w="1560"/>
      </w:tblGrid>
      <w:tr w:rsidR="005A674A" w:rsidRPr="005A674A" w14:paraId="709020BA" w14:textId="77777777" w:rsidTr="00BD7FA9">
        <w:tc>
          <w:tcPr>
            <w:tcW w:w="2089" w:type="dxa"/>
            <w:shd w:val="clear" w:color="auto" w:fill="D9D9D9" w:themeFill="background1" w:themeFillShade="D9"/>
          </w:tcPr>
          <w:p w14:paraId="55F8AEBF" w14:textId="3C790A67" w:rsidR="00805E20" w:rsidRPr="005A674A" w:rsidRDefault="00805E20" w:rsidP="00AE0CF0">
            <w:pPr>
              <w:rPr>
                <w:sz w:val="20"/>
              </w:rPr>
            </w:pPr>
            <w:r w:rsidRPr="005A674A">
              <w:rPr>
                <w:sz w:val="20"/>
              </w:rPr>
              <w:t>Reserves</w:t>
            </w:r>
            <w:r w:rsidR="00E76F62" w:rsidRPr="005A674A">
              <w:rPr>
                <w:sz w:val="20"/>
              </w:rPr>
              <w:t xml:space="preserve"> </w:t>
            </w:r>
            <w:r w:rsidR="005B0B76" w:rsidRPr="005A674A">
              <w:rPr>
                <w:sz w:val="20"/>
              </w:rPr>
              <w:t>&amp; additional</w:t>
            </w:r>
            <w:r w:rsidRPr="005A674A">
              <w:rPr>
                <w:sz w:val="20"/>
              </w:rPr>
              <w:t xml:space="preserve"> Income </w:t>
            </w:r>
            <w:r w:rsidR="00D630A2" w:rsidRPr="005A674A">
              <w:rPr>
                <w:sz w:val="20"/>
              </w:rPr>
              <w:t xml:space="preserve">expected to be </w:t>
            </w:r>
            <w:r w:rsidRPr="005A674A">
              <w:rPr>
                <w:sz w:val="20"/>
              </w:rPr>
              <w:t>received from Central Gov to cover 202</w:t>
            </w:r>
            <w:r w:rsidR="00AE0CF0" w:rsidRPr="005A674A">
              <w:rPr>
                <w:sz w:val="20"/>
              </w:rPr>
              <w:t>1</w:t>
            </w:r>
            <w:r w:rsidRPr="005A674A">
              <w:rPr>
                <w:sz w:val="20"/>
              </w:rPr>
              <w:t>/2</w:t>
            </w:r>
            <w:r w:rsidR="00AE0CF0" w:rsidRPr="005A674A">
              <w:rPr>
                <w:sz w:val="20"/>
              </w:rPr>
              <w:t>2</w:t>
            </w:r>
            <w:r w:rsidRPr="005A674A">
              <w:rPr>
                <w:sz w:val="20"/>
              </w:rPr>
              <w:t xml:space="preserve"> deficit</w:t>
            </w:r>
          </w:p>
        </w:tc>
        <w:tc>
          <w:tcPr>
            <w:tcW w:w="3014" w:type="dxa"/>
            <w:shd w:val="clear" w:color="auto" w:fill="D9D9D9" w:themeFill="background1" w:themeFillShade="D9"/>
          </w:tcPr>
          <w:p w14:paraId="4054AE8D" w14:textId="568092C0" w:rsidR="00805E20" w:rsidRPr="005A674A" w:rsidRDefault="00E65EFA" w:rsidP="006E6C2D">
            <w:r w:rsidRPr="005A674A">
              <w:rPr>
                <w:sz w:val="18"/>
                <w:szCs w:val="18"/>
              </w:rPr>
              <w:t xml:space="preserve">Expected additional </w:t>
            </w:r>
            <w:r w:rsidR="00805E20" w:rsidRPr="005A674A">
              <w:rPr>
                <w:sz w:val="18"/>
                <w:szCs w:val="18"/>
              </w:rPr>
              <w:t xml:space="preserve">S31 Grant to </w:t>
            </w:r>
            <w:r w:rsidRPr="005A674A">
              <w:rPr>
                <w:sz w:val="18"/>
                <w:szCs w:val="18"/>
              </w:rPr>
              <w:t>compensate</w:t>
            </w:r>
            <w:r w:rsidR="00AE0CF0" w:rsidRPr="005A674A">
              <w:rPr>
                <w:sz w:val="18"/>
                <w:szCs w:val="18"/>
              </w:rPr>
              <w:t xml:space="preserve"> for</w:t>
            </w:r>
            <w:r w:rsidR="00805E20" w:rsidRPr="005A674A">
              <w:rPr>
                <w:sz w:val="18"/>
                <w:szCs w:val="18"/>
              </w:rPr>
              <w:t xml:space="preserve"> losses due to retail relief</w:t>
            </w:r>
          </w:p>
        </w:tc>
        <w:tc>
          <w:tcPr>
            <w:tcW w:w="1275" w:type="dxa"/>
            <w:shd w:val="clear" w:color="auto" w:fill="D9D9D9" w:themeFill="background1" w:themeFillShade="D9"/>
          </w:tcPr>
          <w:p w14:paraId="5D3DDB2A" w14:textId="77777777" w:rsidR="00805E20" w:rsidRPr="005A674A" w:rsidRDefault="00805E20" w:rsidP="006E6C2D">
            <w:pPr>
              <w:rPr>
                <w:sz w:val="18"/>
                <w:szCs w:val="18"/>
              </w:rPr>
            </w:pPr>
            <w:r w:rsidRPr="005A674A">
              <w:rPr>
                <w:sz w:val="18"/>
                <w:szCs w:val="18"/>
              </w:rPr>
              <w:t>C/</w:t>
            </w:r>
            <w:proofErr w:type="spellStart"/>
            <w:r w:rsidRPr="005A674A">
              <w:rPr>
                <w:sz w:val="18"/>
                <w:szCs w:val="18"/>
              </w:rPr>
              <w:t>fwd</w:t>
            </w:r>
            <w:proofErr w:type="spellEnd"/>
            <w:r w:rsidRPr="005A674A">
              <w:rPr>
                <w:sz w:val="18"/>
                <w:szCs w:val="18"/>
              </w:rPr>
              <w:t xml:space="preserve"> ring fenced Reserves </w:t>
            </w:r>
          </w:p>
          <w:p w14:paraId="0BB936E9" w14:textId="4F1EA923" w:rsidR="00F51658" w:rsidRPr="005A674A" w:rsidRDefault="00F51658" w:rsidP="006E6C2D">
            <w:r w:rsidRPr="005A674A">
              <w:rPr>
                <w:sz w:val="18"/>
                <w:szCs w:val="18"/>
              </w:rPr>
              <w:t>*see table 1b</w:t>
            </w:r>
            <w:r w:rsidR="00237994" w:rsidRPr="005A674A">
              <w:rPr>
                <w:sz w:val="18"/>
                <w:szCs w:val="18"/>
              </w:rPr>
              <w:t xml:space="preserve"> above</w:t>
            </w:r>
          </w:p>
        </w:tc>
        <w:tc>
          <w:tcPr>
            <w:tcW w:w="1560" w:type="dxa"/>
            <w:shd w:val="clear" w:color="auto" w:fill="D9D9D9" w:themeFill="background1" w:themeFillShade="D9"/>
          </w:tcPr>
          <w:p w14:paraId="47D925E8" w14:textId="77777777" w:rsidR="00805E20" w:rsidRPr="005A674A" w:rsidRDefault="00805E20" w:rsidP="006E6C2D">
            <w:pPr>
              <w:rPr>
                <w:sz w:val="20"/>
              </w:rPr>
            </w:pPr>
            <w:r w:rsidRPr="005A674A">
              <w:rPr>
                <w:rFonts w:cs="Arial"/>
                <w:sz w:val="20"/>
              </w:rPr>
              <w:t>Running totals</w:t>
            </w:r>
          </w:p>
        </w:tc>
      </w:tr>
      <w:tr w:rsidR="005A674A" w:rsidRPr="005A674A" w14:paraId="47F5EDF0" w14:textId="77777777" w:rsidTr="00BD7FA9">
        <w:tc>
          <w:tcPr>
            <w:tcW w:w="2089" w:type="dxa"/>
            <w:shd w:val="clear" w:color="auto" w:fill="D9D9D9" w:themeFill="background1" w:themeFillShade="D9"/>
          </w:tcPr>
          <w:p w14:paraId="64446B8A" w14:textId="77777777" w:rsidR="00805E20" w:rsidRPr="005A674A" w:rsidRDefault="00805E20" w:rsidP="006E6C2D"/>
        </w:tc>
        <w:tc>
          <w:tcPr>
            <w:tcW w:w="3014" w:type="dxa"/>
          </w:tcPr>
          <w:p w14:paraId="2FDE8399" w14:textId="34598A5B" w:rsidR="00805E20" w:rsidRPr="005A674A" w:rsidRDefault="00805E20" w:rsidP="004C6436">
            <w:pPr>
              <w:jc w:val="right"/>
              <w:rPr>
                <w:sz w:val="20"/>
              </w:rPr>
            </w:pPr>
            <w:r w:rsidRPr="005A674A">
              <w:rPr>
                <w:sz w:val="20"/>
              </w:rPr>
              <w:t>£5</w:t>
            </w:r>
            <w:r w:rsidR="00ED6982" w:rsidRPr="005A674A">
              <w:rPr>
                <w:sz w:val="20"/>
              </w:rPr>
              <w:t>.</w:t>
            </w:r>
            <w:r w:rsidRPr="005A674A">
              <w:rPr>
                <w:sz w:val="20"/>
              </w:rPr>
              <w:t>250</w:t>
            </w:r>
            <w:r w:rsidR="00ED6982" w:rsidRPr="005A674A">
              <w:rPr>
                <w:sz w:val="20"/>
              </w:rPr>
              <w:t>m</w:t>
            </w:r>
          </w:p>
        </w:tc>
        <w:tc>
          <w:tcPr>
            <w:tcW w:w="1275" w:type="dxa"/>
          </w:tcPr>
          <w:p w14:paraId="066B3EBB" w14:textId="3D56C456" w:rsidR="00805E20" w:rsidRPr="005A674A" w:rsidRDefault="00805E20" w:rsidP="004C6436">
            <w:pPr>
              <w:jc w:val="right"/>
              <w:rPr>
                <w:sz w:val="20"/>
              </w:rPr>
            </w:pPr>
            <w:r w:rsidRPr="005A674A">
              <w:rPr>
                <w:sz w:val="20"/>
              </w:rPr>
              <w:t>-</w:t>
            </w:r>
            <w:r w:rsidR="00ED6982" w:rsidRPr="005A674A">
              <w:rPr>
                <w:sz w:val="20"/>
              </w:rPr>
              <w:t>£0.</w:t>
            </w:r>
            <w:r w:rsidRPr="005A674A">
              <w:rPr>
                <w:sz w:val="20"/>
              </w:rPr>
              <w:t>842</w:t>
            </w:r>
            <w:r w:rsidR="00ED6982" w:rsidRPr="005A674A">
              <w:rPr>
                <w:sz w:val="20"/>
              </w:rPr>
              <w:t>m</w:t>
            </w:r>
          </w:p>
        </w:tc>
        <w:tc>
          <w:tcPr>
            <w:tcW w:w="1560" w:type="dxa"/>
            <w:shd w:val="clear" w:color="auto" w:fill="FFFFFF" w:themeFill="background1"/>
          </w:tcPr>
          <w:p w14:paraId="75C7FE16" w14:textId="630A06CF" w:rsidR="00805E20" w:rsidRPr="005A674A" w:rsidRDefault="00805E20" w:rsidP="004C6436">
            <w:pPr>
              <w:jc w:val="right"/>
              <w:rPr>
                <w:b/>
                <w:bCs/>
                <w:sz w:val="20"/>
              </w:rPr>
            </w:pPr>
            <w:r w:rsidRPr="005A674A">
              <w:rPr>
                <w:b/>
                <w:bCs/>
                <w:sz w:val="20"/>
              </w:rPr>
              <w:t>-£</w:t>
            </w:r>
            <w:r w:rsidR="00677FD6" w:rsidRPr="005A674A">
              <w:rPr>
                <w:b/>
                <w:bCs/>
                <w:sz w:val="20"/>
              </w:rPr>
              <w:t>6</w:t>
            </w:r>
            <w:r w:rsidR="00C24DA6" w:rsidRPr="005A674A">
              <w:rPr>
                <w:b/>
                <w:bCs/>
                <w:sz w:val="20"/>
              </w:rPr>
              <w:t>.</w:t>
            </w:r>
            <w:r w:rsidR="00677FD6" w:rsidRPr="005A674A">
              <w:rPr>
                <w:b/>
                <w:bCs/>
                <w:sz w:val="20"/>
              </w:rPr>
              <w:t>092</w:t>
            </w:r>
            <w:r w:rsidR="008D155C" w:rsidRPr="005A674A">
              <w:rPr>
                <w:b/>
                <w:bCs/>
                <w:sz w:val="20"/>
              </w:rPr>
              <w:t>m</w:t>
            </w:r>
          </w:p>
          <w:p w14:paraId="7D1273EB" w14:textId="78C69827" w:rsidR="004C6436" w:rsidRPr="005A674A" w:rsidRDefault="004C6436" w:rsidP="004C6436">
            <w:pPr>
              <w:jc w:val="right"/>
              <w:rPr>
                <w:b/>
                <w:bCs/>
                <w:sz w:val="20"/>
              </w:rPr>
            </w:pPr>
          </w:p>
        </w:tc>
      </w:tr>
      <w:tr w:rsidR="005A674A" w:rsidRPr="005A674A" w14:paraId="197CD18F" w14:textId="77777777" w:rsidTr="00BD7FA9">
        <w:tc>
          <w:tcPr>
            <w:tcW w:w="2089" w:type="dxa"/>
            <w:shd w:val="clear" w:color="auto" w:fill="D9D9D9" w:themeFill="background1" w:themeFillShade="D9"/>
          </w:tcPr>
          <w:p w14:paraId="62AA4327" w14:textId="064D592D" w:rsidR="00805E20" w:rsidRPr="005A674A" w:rsidRDefault="00805E20" w:rsidP="006E6C2D">
            <w:pPr>
              <w:rPr>
                <w:sz w:val="18"/>
                <w:szCs w:val="18"/>
              </w:rPr>
            </w:pPr>
            <w:r w:rsidRPr="005A674A">
              <w:rPr>
                <w:sz w:val="18"/>
                <w:szCs w:val="18"/>
              </w:rPr>
              <w:t>Less Payment to collection fund 202</w:t>
            </w:r>
            <w:r w:rsidR="00C54A34">
              <w:rPr>
                <w:sz w:val="18"/>
                <w:szCs w:val="18"/>
              </w:rPr>
              <w:t>2</w:t>
            </w:r>
            <w:r w:rsidRPr="005A674A">
              <w:rPr>
                <w:sz w:val="18"/>
                <w:szCs w:val="18"/>
              </w:rPr>
              <w:t>/2</w:t>
            </w:r>
            <w:r w:rsidR="00C54A34">
              <w:rPr>
                <w:sz w:val="18"/>
                <w:szCs w:val="18"/>
              </w:rPr>
              <w:t>3</w:t>
            </w:r>
          </w:p>
        </w:tc>
        <w:tc>
          <w:tcPr>
            <w:tcW w:w="3014" w:type="dxa"/>
          </w:tcPr>
          <w:p w14:paraId="38DF18E4" w14:textId="77777777" w:rsidR="00805E20" w:rsidRPr="005A674A" w:rsidRDefault="00805E20" w:rsidP="004C6436">
            <w:pPr>
              <w:jc w:val="right"/>
              <w:rPr>
                <w:sz w:val="20"/>
              </w:rPr>
            </w:pPr>
          </w:p>
        </w:tc>
        <w:tc>
          <w:tcPr>
            <w:tcW w:w="1275" w:type="dxa"/>
          </w:tcPr>
          <w:p w14:paraId="61CAC7FB" w14:textId="77777777" w:rsidR="00805E20" w:rsidRPr="005A674A" w:rsidRDefault="00805E20" w:rsidP="004C6436">
            <w:pPr>
              <w:jc w:val="right"/>
              <w:rPr>
                <w:sz w:val="20"/>
              </w:rPr>
            </w:pPr>
          </w:p>
        </w:tc>
        <w:tc>
          <w:tcPr>
            <w:tcW w:w="1560" w:type="dxa"/>
            <w:shd w:val="clear" w:color="auto" w:fill="FFFFFF" w:themeFill="background1"/>
          </w:tcPr>
          <w:p w14:paraId="7AC67D16" w14:textId="77777777" w:rsidR="004C6436" w:rsidRPr="005A674A" w:rsidRDefault="004C6436" w:rsidP="004C6436">
            <w:pPr>
              <w:jc w:val="right"/>
              <w:rPr>
                <w:sz w:val="20"/>
              </w:rPr>
            </w:pPr>
          </w:p>
          <w:p w14:paraId="716A639F" w14:textId="4BC8F76A" w:rsidR="00805E20" w:rsidRPr="005A674A" w:rsidRDefault="00805E20" w:rsidP="004C6436">
            <w:pPr>
              <w:jc w:val="right"/>
              <w:rPr>
                <w:sz w:val="20"/>
              </w:rPr>
            </w:pPr>
            <w:r w:rsidRPr="005A674A">
              <w:rPr>
                <w:sz w:val="20"/>
              </w:rPr>
              <w:t>£</w:t>
            </w:r>
            <w:r w:rsidR="00677FD6" w:rsidRPr="005A674A">
              <w:rPr>
                <w:sz w:val="20"/>
              </w:rPr>
              <w:t>6</w:t>
            </w:r>
            <w:r w:rsidR="00C24DA6" w:rsidRPr="005A674A">
              <w:rPr>
                <w:sz w:val="20"/>
              </w:rPr>
              <w:t>.</w:t>
            </w:r>
            <w:r w:rsidR="006C1EDF" w:rsidRPr="005A674A">
              <w:rPr>
                <w:sz w:val="20"/>
              </w:rPr>
              <w:t>144</w:t>
            </w:r>
            <w:r w:rsidR="008D155C" w:rsidRPr="005A674A">
              <w:rPr>
                <w:sz w:val="20"/>
              </w:rPr>
              <w:t>m</w:t>
            </w:r>
          </w:p>
        </w:tc>
      </w:tr>
      <w:tr w:rsidR="005A674A" w:rsidRPr="005A674A" w14:paraId="2B0568A3" w14:textId="77777777" w:rsidTr="00BD7FA9">
        <w:tc>
          <w:tcPr>
            <w:tcW w:w="2089" w:type="dxa"/>
            <w:shd w:val="clear" w:color="auto" w:fill="D9D9D9" w:themeFill="background1" w:themeFillShade="D9"/>
          </w:tcPr>
          <w:p w14:paraId="46CA1DED" w14:textId="79CA1030" w:rsidR="00805E20" w:rsidRPr="005A674A" w:rsidRDefault="00EC23F7" w:rsidP="006E6C2D">
            <w:pPr>
              <w:rPr>
                <w:sz w:val="18"/>
                <w:szCs w:val="18"/>
              </w:rPr>
            </w:pPr>
            <w:r>
              <w:rPr>
                <w:rFonts w:cs="Arial"/>
                <w:sz w:val="18"/>
                <w:szCs w:val="18"/>
              </w:rPr>
              <w:t xml:space="preserve">Charge to </w:t>
            </w:r>
            <w:r w:rsidR="00A26204">
              <w:rPr>
                <w:rFonts w:cs="Arial"/>
                <w:sz w:val="18"/>
                <w:szCs w:val="18"/>
              </w:rPr>
              <w:t xml:space="preserve">2022/23 </w:t>
            </w:r>
            <w:r>
              <w:rPr>
                <w:rFonts w:cs="Arial"/>
                <w:sz w:val="18"/>
                <w:szCs w:val="18"/>
              </w:rPr>
              <w:t xml:space="preserve">general fund </w:t>
            </w:r>
          </w:p>
        </w:tc>
        <w:tc>
          <w:tcPr>
            <w:tcW w:w="3014" w:type="dxa"/>
          </w:tcPr>
          <w:p w14:paraId="52EAE6F0" w14:textId="77777777" w:rsidR="00805E20" w:rsidRPr="005A674A" w:rsidRDefault="00805E20" w:rsidP="004C6436">
            <w:pPr>
              <w:jc w:val="right"/>
              <w:rPr>
                <w:sz w:val="20"/>
              </w:rPr>
            </w:pPr>
          </w:p>
        </w:tc>
        <w:tc>
          <w:tcPr>
            <w:tcW w:w="1275" w:type="dxa"/>
          </w:tcPr>
          <w:p w14:paraId="18AA56DD" w14:textId="77777777" w:rsidR="00805E20" w:rsidRPr="005A674A" w:rsidRDefault="00805E20" w:rsidP="004C6436">
            <w:pPr>
              <w:jc w:val="right"/>
              <w:rPr>
                <w:sz w:val="20"/>
              </w:rPr>
            </w:pPr>
          </w:p>
        </w:tc>
        <w:tc>
          <w:tcPr>
            <w:tcW w:w="1560" w:type="dxa"/>
            <w:shd w:val="clear" w:color="auto" w:fill="FFFFFF" w:themeFill="background1"/>
          </w:tcPr>
          <w:p w14:paraId="09220280" w14:textId="77777777" w:rsidR="004C6436" w:rsidRPr="005A674A" w:rsidRDefault="004C6436" w:rsidP="004C6436">
            <w:pPr>
              <w:jc w:val="right"/>
              <w:rPr>
                <w:b/>
                <w:bCs/>
                <w:sz w:val="20"/>
              </w:rPr>
            </w:pPr>
          </w:p>
          <w:p w14:paraId="10FF3E4A" w14:textId="5715CC76" w:rsidR="00805E20" w:rsidRPr="005A674A" w:rsidRDefault="00805E20" w:rsidP="004C6436">
            <w:pPr>
              <w:jc w:val="right"/>
              <w:rPr>
                <w:b/>
                <w:bCs/>
                <w:sz w:val="20"/>
              </w:rPr>
            </w:pPr>
            <w:r w:rsidRPr="005A674A">
              <w:rPr>
                <w:b/>
                <w:bCs/>
                <w:sz w:val="20"/>
              </w:rPr>
              <w:t>£</w:t>
            </w:r>
            <w:r w:rsidR="008D155C" w:rsidRPr="005A674A">
              <w:rPr>
                <w:b/>
                <w:bCs/>
                <w:sz w:val="20"/>
              </w:rPr>
              <w:t>0.0</w:t>
            </w:r>
            <w:r w:rsidR="00DC506F" w:rsidRPr="005A674A">
              <w:rPr>
                <w:b/>
                <w:bCs/>
                <w:sz w:val="20"/>
              </w:rPr>
              <w:t>5</w:t>
            </w:r>
            <w:r w:rsidR="008D155C" w:rsidRPr="005A674A">
              <w:rPr>
                <w:b/>
                <w:bCs/>
                <w:sz w:val="20"/>
              </w:rPr>
              <w:t>2</w:t>
            </w:r>
            <w:r w:rsidR="00B443FD">
              <w:rPr>
                <w:b/>
                <w:bCs/>
                <w:sz w:val="20"/>
              </w:rPr>
              <w:t>m</w:t>
            </w:r>
          </w:p>
        </w:tc>
      </w:tr>
    </w:tbl>
    <w:p w14:paraId="098C0132" w14:textId="1C190ED9" w:rsidR="002D07CF" w:rsidRPr="005A674A" w:rsidRDefault="002D07CF" w:rsidP="002D07CF">
      <w:pPr>
        <w:ind w:left="360"/>
      </w:pPr>
    </w:p>
    <w:p w14:paraId="085B628B" w14:textId="709B7B57" w:rsidR="005B0269" w:rsidRPr="003A49D3" w:rsidRDefault="005B0269" w:rsidP="005A674A">
      <w:pPr>
        <w:ind w:left="360"/>
        <w:jc w:val="both"/>
      </w:pPr>
      <w:r w:rsidRPr="003A49D3">
        <w:t>It should be noted that whilst there is a minimal deficit</w:t>
      </w:r>
      <w:r w:rsidR="00525C13" w:rsidRPr="003A49D3">
        <w:t xml:space="preserve"> of £51,738 which will be a call on the general fund in 2022/23, there will however</w:t>
      </w:r>
      <w:r w:rsidR="006049A5" w:rsidRPr="003A49D3">
        <w:t xml:space="preserve"> still be a need for a further call from the general fund in 2023/24 to cater for the </w:t>
      </w:r>
      <w:r w:rsidR="004013B0" w:rsidRPr="003A49D3">
        <w:t>3rd  year spread</w:t>
      </w:r>
      <w:r w:rsidR="00226191" w:rsidRPr="003A49D3">
        <w:t xml:space="preserve"> amount of £393k</w:t>
      </w:r>
      <w:r w:rsidR="00334346" w:rsidRPr="003A49D3">
        <w:t xml:space="preserve"> (</w:t>
      </w:r>
      <w:r w:rsidR="002D69C0" w:rsidRPr="003A49D3">
        <w:t xml:space="preserve">£303k NDR &amp; £90K </w:t>
      </w:r>
      <w:proofErr w:type="spellStart"/>
      <w:r w:rsidR="002D69C0" w:rsidRPr="003A49D3">
        <w:t>Ctax</w:t>
      </w:r>
      <w:proofErr w:type="spellEnd"/>
      <w:r w:rsidR="002D69C0" w:rsidRPr="003A49D3">
        <w:t>)</w:t>
      </w:r>
      <w:r w:rsidR="00226191" w:rsidRPr="003A49D3">
        <w:t xml:space="preserve">. This will however be </w:t>
      </w:r>
      <w:r w:rsidR="00425A1F" w:rsidRPr="003A49D3">
        <w:t xml:space="preserve">dealt with within the MTFS </w:t>
      </w:r>
      <w:r w:rsidR="00D076F3">
        <w:t xml:space="preserve">refresh </w:t>
      </w:r>
      <w:r w:rsidR="00425A1F" w:rsidRPr="003A49D3">
        <w:t>for the 2023/24 budget.</w:t>
      </w:r>
      <w:r w:rsidR="004013B0" w:rsidRPr="003A49D3">
        <w:t xml:space="preserve"> </w:t>
      </w:r>
    </w:p>
    <w:p w14:paraId="62DF9997" w14:textId="7FCC3CDD" w:rsidR="006B2C84" w:rsidRPr="003A49D3" w:rsidRDefault="003A3CFF" w:rsidP="005A674A">
      <w:pPr>
        <w:jc w:val="both"/>
        <w:rPr>
          <w:sz w:val="18"/>
          <w:szCs w:val="18"/>
        </w:rPr>
      </w:pPr>
      <w:r w:rsidRPr="003A49D3">
        <w:rPr>
          <w:sz w:val="18"/>
          <w:szCs w:val="18"/>
        </w:rPr>
        <w:t xml:space="preserve">         </w:t>
      </w:r>
      <w:r w:rsidRPr="003A49D3">
        <w:rPr>
          <w:sz w:val="18"/>
          <w:szCs w:val="18"/>
        </w:rPr>
        <w:tab/>
      </w:r>
    </w:p>
    <w:p w14:paraId="2114FDAC" w14:textId="77777777" w:rsidR="00AE0CF0" w:rsidRDefault="00AE0CF0" w:rsidP="00DC7FD5">
      <w:pPr>
        <w:tabs>
          <w:tab w:val="left" w:pos="8976"/>
        </w:tabs>
        <w:ind w:right="257"/>
        <w:rPr>
          <w:rFonts w:cs="Arial"/>
          <w:b/>
          <w:szCs w:val="24"/>
        </w:rPr>
      </w:pPr>
    </w:p>
    <w:p w14:paraId="29FF956D" w14:textId="2D012C80" w:rsidR="00DC7FD5" w:rsidRPr="00B602E0" w:rsidRDefault="00F9374E" w:rsidP="00DC7FD5">
      <w:pPr>
        <w:tabs>
          <w:tab w:val="left" w:pos="8976"/>
        </w:tabs>
        <w:ind w:right="257"/>
        <w:rPr>
          <w:rFonts w:cs="Arial"/>
          <w:b/>
          <w:szCs w:val="24"/>
        </w:rPr>
      </w:pPr>
      <w:r>
        <w:rPr>
          <w:rFonts w:cs="Arial"/>
          <w:b/>
          <w:szCs w:val="24"/>
        </w:rPr>
        <w:lastRenderedPageBreak/>
        <w:t xml:space="preserve">General - </w:t>
      </w:r>
      <w:r w:rsidR="00DC7FD5" w:rsidRPr="00B602E0">
        <w:rPr>
          <w:rFonts w:cs="Arial"/>
          <w:b/>
          <w:szCs w:val="24"/>
        </w:rPr>
        <w:t>Council Tax</w:t>
      </w:r>
    </w:p>
    <w:p w14:paraId="4D144B6A" w14:textId="77777777" w:rsidR="00DC7FD5" w:rsidRPr="00B602E0" w:rsidRDefault="00DC7FD5" w:rsidP="002D0E5E">
      <w:pPr>
        <w:numPr>
          <w:ilvl w:val="0"/>
          <w:numId w:val="5"/>
        </w:numPr>
        <w:autoSpaceDE w:val="0"/>
        <w:autoSpaceDN w:val="0"/>
        <w:adjustRightInd w:val="0"/>
        <w:jc w:val="both"/>
        <w:rPr>
          <w:rFonts w:cs="Arial"/>
          <w:color w:val="000000"/>
          <w:szCs w:val="24"/>
          <w:lang w:eastAsia="en-GB"/>
        </w:rPr>
      </w:pPr>
      <w:r w:rsidRPr="00B602E0">
        <w:rPr>
          <w:rFonts w:cs="Arial"/>
          <w:color w:val="000000"/>
          <w:szCs w:val="24"/>
          <w:lang w:eastAsia="en-GB"/>
        </w:rPr>
        <w:t xml:space="preserve">There are four main factors in the calculation of the estimated surplus / (deficit) on Council </w:t>
      </w:r>
      <w:proofErr w:type="gramStart"/>
      <w:r w:rsidRPr="00B602E0">
        <w:rPr>
          <w:rFonts w:cs="Arial"/>
          <w:color w:val="000000"/>
          <w:szCs w:val="24"/>
          <w:lang w:eastAsia="en-GB"/>
        </w:rPr>
        <w:t>Tax:-</w:t>
      </w:r>
      <w:proofErr w:type="gramEnd"/>
    </w:p>
    <w:p w14:paraId="1E9E1307" w14:textId="77777777" w:rsidR="00DC7FD5" w:rsidRPr="00B602E0" w:rsidRDefault="00DC7FD5" w:rsidP="00DC7FD5">
      <w:pPr>
        <w:autoSpaceDE w:val="0"/>
        <w:autoSpaceDN w:val="0"/>
        <w:adjustRightInd w:val="0"/>
        <w:ind w:left="360"/>
        <w:jc w:val="both"/>
        <w:rPr>
          <w:rFonts w:cs="Arial"/>
          <w:color w:val="000000"/>
          <w:szCs w:val="24"/>
          <w:lang w:eastAsia="en-GB"/>
        </w:rPr>
      </w:pPr>
    </w:p>
    <w:p w14:paraId="314CAE23" w14:textId="77777777" w:rsidR="00DC7FD5" w:rsidRPr="00B602E0" w:rsidRDefault="00DC7FD5" w:rsidP="002D0E5E">
      <w:pPr>
        <w:numPr>
          <w:ilvl w:val="1"/>
          <w:numId w:val="3"/>
        </w:numPr>
        <w:tabs>
          <w:tab w:val="left" w:pos="8976"/>
        </w:tabs>
        <w:ind w:right="374"/>
        <w:jc w:val="both"/>
        <w:rPr>
          <w:rFonts w:cs="Arial"/>
          <w:szCs w:val="24"/>
        </w:rPr>
      </w:pPr>
      <w:r w:rsidRPr="00B602E0">
        <w:rPr>
          <w:rFonts w:cs="Arial"/>
          <w:szCs w:val="24"/>
        </w:rPr>
        <w:t>Surplus / (deficit) brought forward from the previous financial year;</w:t>
      </w:r>
    </w:p>
    <w:p w14:paraId="65C15033" w14:textId="77777777" w:rsidR="00DC7FD5" w:rsidRPr="00B602E0" w:rsidRDefault="00DC7FD5" w:rsidP="002D0E5E">
      <w:pPr>
        <w:numPr>
          <w:ilvl w:val="1"/>
          <w:numId w:val="3"/>
        </w:numPr>
        <w:tabs>
          <w:tab w:val="left" w:pos="8976"/>
        </w:tabs>
        <w:ind w:right="374"/>
        <w:jc w:val="both"/>
        <w:rPr>
          <w:rFonts w:cs="Arial"/>
          <w:szCs w:val="24"/>
        </w:rPr>
      </w:pPr>
      <w:r w:rsidRPr="00B602E0">
        <w:rPr>
          <w:rFonts w:cs="Arial"/>
          <w:szCs w:val="24"/>
        </w:rPr>
        <w:t>Change in the gross income due to variations in relation to</w:t>
      </w:r>
      <w:r w:rsidR="002436E8">
        <w:rPr>
          <w:rFonts w:cs="Arial"/>
          <w:szCs w:val="24"/>
        </w:rPr>
        <w:t xml:space="preserve"> council tax</w:t>
      </w:r>
      <w:r w:rsidRPr="00B602E0">
        <w:rPr>
          <w:rFonts w:cs="Arial"/>
          <w:szCs w:val="24"/>
        </w:rPr>
        <w:t xml:space="preserve"> discounts, exemptions and the cost of Local Council Tax Support Scheme; </w:t>
      </w:r>
    </w:p>
    <w:p w14:paraId="442EAC6A" w14:textId="62127AD1" w:rsidR="00DC7FD5" w:rsidRPr="00B602E0" w:rsidRDefault="00DC7FD5" w:rsidP="002D0E5E">
      <w:pPr>
        <w:numPr>
          <w:ilvl w:val="1"/>
          <w:numId w:val="3"/>
        </w:numPr>
        <w:tabs>
          <w:tab w:val="left" w:pos="8976"/>
        </w:tabs>
        <w:ind w:right="374"/>
        <w:jc w:val="both"/>
        <w:rPr>
          <w:rFonts w:cs="Arial"/>
          <w:szCs w:val="24"/>
        </w:rPr>
      </w:pPr>
      <w:r w:rsidRPr="00B602E0">
        <w:rPr>
          <w:rFonts w:cs="Arial"/>
          <w:szCs w:val="24"/>
        </w:rPr>
        <w:t xml:space="preserve">Increase to the tax base due to additional new properties being added to the Council Tax list; and  </w:t>
      </w:r>
    </w:p>
    <w:p w14:paraId="4D9929F6" w14:textId="77777777" w:rsidR="00DC7FD5" w:rsidRPr="00B602E0" w:rsidRDefault="00DC7FD5" w:rsidP="002D0E5E">
      <w:pPr>
        <w:numPr>
          <w:ilvl w:val="0"/>
          <w:numId w:val="2"/>
        </w:numPr>
        <w:tabs>
          <w:tab w:val="left" w:pos="8976"/>
        </w:tabs>
        <w:ind w:right="257"/>
        <w:jc w:val="both"/>
        <w:rPr>
          <w:rFonts w:cs="Arial"/>
          <w:szCs w:val="24"/>
        </w:rPr>
      </w:pPr>
      <w:r w:rsidRPr="00B602E0">
        <w:rPr>
          <w:rFonts w:cs="Arial"/>
          <w:szCs w:val="24"/>
        </w:rPr>
        <w:t xml:space="preserve">Increase / decrease in the level of bad debt provision (BDP). </w:t>
      </w:r>
    </w:p>
    <w:p w14:paraId="07EB98D7" w14:textId="77777777" w:rsidR="00DC7FD5" w:rsidRDefault="00DC7FD5" w:rsidP="00DC7FD5">
      <w:pPr>
        <w:tabs>
          <w:tab w:val="left" w:pos="8976"/>
        </w:tabs>
        <w:ind w:left="360" w:right="257"/>
        <w:rPr>
          <w:rFonts w:cs="Arial"/>
          <w:szCs w:val="24"/>
        </w:rPr>
      </w:pPr>
    </w:p>
    <w:p w14:paraId="745314BE" w14:textId="68830969" w:rsidR="00DC7FD5" w:rsidRPr="00B602E0" w:rsidRDefault="00DC7FD5" w:rsidP="002D0E5E">
      <w:pPr>
        <w:numPr>
          <w:ilvl w:val="0"/>
          <w:numId w:val="5"/>
        </w:numPr>
        <w:jc w:val="both"/>
      </w:pPr>
      <w:r w:rsidRPr="00B602E0">
        <w:t xml:space="preserve">The council tax </w:t>
      </w:r>
      <w:r>
        <w:t xml:space="preserve">in year </w:t>
      </w:r>
      <w:r w:rsidRPr="00B602E0">
        <w:t>collection rate for 20</w:t>
      </w:r>
      <w:r w:rsidR="003C25E3">
        <w:t>2</w:t>
      </w:r>
      <w:r w:rsidR="00D4384A">
        <w:t>1</w:t>
      </w:r>
      <w:r w:rsidRPr="00B602E0">
        <w:t>-</w:t>
      </w:r>
      <w:r>
        <w:t>2</w:t>
      </w:r>
      <w:r w:rsidR="00D4384A">
        <w:t>2</w:t>
      </w:r>
      <w:r w:rsidRPr="00B602E0">
        <w:t xml:space="preserve"> is on profile and is expected to exceed 9</w:t>
      </w:r>
      <w:r w:rsidR="00622ABD">
        <w:t>6</w:t>
      </w:r>
      <w:r w:rsidRPr="00B602E0">
        <w:t xml:space="preserve">% in year. </w:t>
      </w:r>
      <w:r>
        <w:t>For 20</w:t>
      </w:r>
      <w:r w:rsidR="003C25E3">
        <w:t>2</w:t>
      </w:r>
      <w:r w:rsidR="00D34CFB">
        <w:t>1</w:t>
      </w:r>
      <w:r>
        <w:t>-2</w:t>
      </w:r>
      <w:r w:rsidR="00D34CFB">
        <w:t>2</w:t>
      </w:r>
      <w:r>
        <w:t xml:space="preserve"> t</w:t>
      </w:r>
      <w:r w:rsidRPr="00B602E0">
        <w:t xml:space="preserve">he </w:t>
      </w:r>
      <w:r>
        <w:t xml:space="preserve">overall </w:t>
      </w:r>
      <w:r w:rsidRPr="00B602E0">
        <w:t>budgeted collection percentage</w:t>
      </w:r>
      <w:r>
        <w:t xml:space="preserve"> over time</w:t>
      </w:r>
      <w:r w:rsidRPr="00B602E0">
        <w:t xml:space="preserve"> is 98%</w:t>
      </w:r>
      <w:r>
        <w:t xml:space="preserve">, </w:t>
      </w:r>
      <w:r w:rsidRPr="00B602E0">
        <w:t>and it is proposed that it remains at 98% for the 20</w:t>
      </w:r>
      <w:r>
        <w:t>2</w:t>
      </w:r>
      <w:r w:rsidR="00D34CFB">
        <w:t>2</w:t>
      </w:r>
      <w:r w:rsidRPr="00B602E0">
        <w:t>-</w:t>
      </w:r>
      <w:r>
        <w:t>2</w:t>
      </w:r>
      <w:r w:rsidR="00D34CFB">
        <w:t>3</w:t>
      </w:r>
      <w:r w:rsidRPr="00B602E0">
        <w:t xml:space="preserve"> financial year</w:t>
      </w:r>
    </w:p>
    <w:p w14:paraId="324FB669" w14:textId="77777777" w:rsidR="00DC7FD5" w:rsidRPr="00B602E0" w:rsidRDefault="00DC7FD5" w:rsidP="00DC7FD5">
      <w:pPr>
        <w:jc w:val="both"/>
      </w:pPr>
    </w:p>
    <w:p w14:paraId="37159783" w14:textId="46EE8AEC" w:rsidR="00DC7FD5" w:rsidRPr="00F9374E" w:rsidRDefault="00F9374E" w:rsidP="00DC7FD5">
      <w:pPr>
        <w:autoSpaceDE w:val="0"/>
        <w:autoSpaceDN w:val="0"/>
        <w:adjustRightInd w:val="0"/>
        <w:rPr>
          <w:rFonts w:cs="Arial"/>
          <w:b/>
          <w:color w:val="000000"/>
          <w:szCs w:val="24"/>
          <w:lang w:eastAsia="en-GB"/>
        </w:rPr>
      </w:pPr>
      <w:r w:rsidRPr="00F9374E">
        <w:rPr>
          <w:rFonts w:cs="Arial"/>
          <w:b/>
          <w:color w:val="000000"/>
          <w:szCs w:val="24"/>
          <w:lang w:eastAsia="en-GB"/>
        </w:rPr>
        <w:t xml:space="preserve">General - </w:t>
      </w:r>
      <w:r w:rsidR="00DC7FD5" w:rsidRPr="00F9374E">
        <w:rPr>
          <w:rFonts w:cs="Arial"/>
          <w:b/>
          <w:color w:val="000000"/>
          <w:szCs w:val="24"/>
          <w:lang w:eastAsia="en-GB"/>
        </w:rPr>
        <w:t>Business Rates Retention Scheme</w:t>
      </w:r>
    </w:p>
    <w:p w14:paraId="52624D5D" w14:textId="384ED08E" w:rsidR="00DC7FD5" w:rsidRPr="004D49DA" w:rsidRDefault="00DC7FD5" w:rsidP="002D0E5E">
      <w:pPr>
        <w:numPr>
          <w:ilvl w:val="0"/>
          <w:numId w:val="5"/>
        </w:numPr>
        <w:autoSpaceDE w:val="0"/>
        <w:autoSpaceDN w:val="0"/>
        <w:adjustRightInd w:val="0"/>
        <w:jc w:val="both"/>
        <w:rPr>
          <w:rFonts w:cs="Arial"/>
          <w:color w:val="FF0000"/>
          <w:szCs w:val="24"/>
          <w:lang w:eastAsia="en-GB"/>
        </w:rPr>
      </w:pPr>
      <w:r w:rsidRPr="00B602E0">
        <w:rPr>
          <w:rFonts w:cs="Arial"/>
          <w:color w:val="000000"/>
          <w:szCs w:val="24"/>
          <w:lang w:eastAsia="en-GB"/>
        </w:rPr>
        <w:t>The Business Rate Retention Scheme (BRRS) was introduced on 1</w:t>
      </w:r>
      <w:r w:rsidRPr="00B602E0">
        <w:rPr>
          <w:rFonts w:cs="Arial"/>
          <w:color w:val="000000"/>
          <w:szCs w:val="24"/>
          <w:vertAlign w:val="superscript"/>
          <w:lang w:eastAsia="en-GB"/>
        </w:rPr>
        <w:t>st</w:t>
      </w:r>
      <w:r w:rsidRPr="00B602E0">
        <w:rPr>
          <w:rFonts w:cs="Arial"/>
          <w:color w:val="000000"/>
          <w:szCs w:val="24"/>
          <w:lang w:eastAsia="en-GB"/>
        </w:rPr>
        <w:t xml:space="preserve"> April 2013, as part of the move to localise and stimulate business growth at a local level. Under the BRRS the Authority currently </w:t>
      </w:r>
      <w:r w:rsidR="0086458E">
        <w:rPr>
          <w:rFonts w:cs="Arial"/>
          <w:color w:val="000000"/>
          <w:szCs w:val="24"/>
          <w:lang w:eastAsia="en-GB"/>
        </w:rPr>
        <w:t>retains</w:t>
      </w:r>
      <w:r w:rsidRPr="00B602E0">
        <w:rPr>
          <w:rFonts w:cs="Arial"/>
          <w:color w:val="000000"/>
          <w:szCs w:val="24"/>
          <w:lang w:eastAsia="en-GB"/>
        </w:rPr>
        <w:t xml:space="preserve"> </w:t>
      </w:r>
      <w:r w:rsidR="001B6DDB">
        <w:rPr>
          <w:rFonts w:cs="Arial"/>
          <w:color w:val="000000"/>
          <w:szCs w:val="24"/>
          <w:lang w:eastAsia="en-GB"/>
        </w:rPr>
        <w:t>30</w:t>
      </w:r>
      <w:r w:rsidRPr="00114E71">
        <w:rPr>
          <w:rFonts w:cs="Arial"/>
          <w:szCs w:val="24"/>
          <w:lang w:eastAsia="en-GB"/>
        </w:rPr>
        <w:t>%</w:t>
      </w:r>
      <w:r w:rsidR="0086458E">
        <w:rPr>
          <w:rFonts w:cs="Arial"/>
          <w:color w:val="000000"/>
          <w:szCs w:val="24"/>
          <w:lang w:eastAsia="en-GB"/>
        </w:rPr>
        <w:t>, the</w:t>
      </w:r>
      <w:r w:rsidRPr="00B602E0">
        <w:rPr>
          <w:rFonts w:cs="Arial"/>
          <w:color w:val="000000"/>
          <w:szCs w:val="24"/>
          <w:lang w:eastAsia="en-GB"/>
        </w:rPr>
        <w:t xml:space="preserve"> GLA</w:t>
      </w:r>
      <w:r w:rsidRPr="001B6DDB">
        <w:rPr>
          <w:rFonts w:cs="Arial"/>
          <w:szCs w:val="24"/>
          <w:lang w:eastAsia="en-GB"/>
        </w:rPr>
        <w:t xml:space="preserve"> </w:t>
      </w:r>
      <w:r w:rsidR="001B6DDB" w:rsidRPr="001B6DDB">
        <w:rPr>
          <w:rFonts w:cs="Arial"/>
          <w:szCs w:val="24"/>
          <w:lang w:eastAsia="en-GB"/>
        </w:rPr>
        <w:t>37</w:t>
      </w:r>
      <w:r w:rsidRPr="001B6DDB">
        <w:rPr>
          <w:rFonts w:cs="Arial"/>
          <w:szCs w:val="24"/>
          <w:lang w:eastAsia="en-GB"/>
        </w:rPr>
        <w:t>%</w:t>
      </w:r>
      <w:r w:rsidR="0086458E">
        <w:rPr>
          <w:rFonts w:cs="Arial"/>
          <w:szCs w:val="24"/>
          <w:lang w:eastAsia="en-GB"/>
        </w:rPr>
        <w:t xml:space="preserve"> and</w:t>
      </w:r>
      <w:r w:rsidRPr="001B6DDB">
        <w:rPr>
          <w:rFonts w:cs="Arial"/>
          <w:szCs w:val="24"/>
          <w:lang w:eastAsia="en-GB"/>
        </w:rPr>
        <w:t xml:space="preserve"> </w:t>
      </w:r>
      <w:r w:rsidR="004C55B0" w:rsidRPr="00AC57D2">
        <w:rPr>
          <w:rFonts w:cs="Arial"/>
          <w:szCs w:val="24"/>
          <w:lang w:eastAsia="en-GB"/>
        </w:rPr>
        <w:t>MHCLG</w:t>
      </w:r>
      <w:r w:rsidRPr="00B602E0">
        <w:rPr>
          <w:rFonts w:cs="Arial"/>
          <w:color w:val="000000"/>
          <w:szCs w:val="24"/>
          <w:lang w:eastAsia="en-GB"/>
        </w:rPr>
        <w:t xml:space="preserve"> retains the remaining </w:t>
      </w:r>
      <w:r w:rsidR="001B6DDB">
        <w:rPr>
          <w:rFonts w:cs="Arial"/>
          <w:color w:val="000000"/>
          <w:szCs w:val="24"/>
          <w:lang w:eastAsia="en-GB"/>
        </w:rPr>
        <w:t>33</w:t>
      </w:r>
      <w:r w:rsidRPr="001B6DDB">
        <w:rPr>
          <w:rFonts w:cs="Arial"/>
          <w:szCs w:val="24"/>
          <w:lang w:eastAsia="en-GB"/>
        </w:rPr>
        <w:t>%.</w:t>
      </w:r>
      <w:r w:rsidRPr="004D49DA">
        <w:rPr>
          <w:rFonts w:cs="Arial"/>
          <w:color w:val="FF0000"/>
          <w:szCs w:val="24"/>
          <w:lang w:eastAsia="en-GB"/>
        </w:rPr>
        <w:t xml:space="preserve"> </w:t>
      </w:r>
    </w:p>
    <w:p w14:paraId="203EBB49" w14:textId="77777777" w:rsidR="00DC7FD5" w:rsidRPr="00B602E0" w:rsidRDefault="00DC7FD5" w:rsidP="00DC7FD5">
      <w:pPr>
        <w:autoSpaceDE w:val="0"/>
        <w:autoSpaceDN w:val="0"/>
        <w:adjustRightInd w:val="0"/>
        <w:jc w:val="both"/>
        <w:rPr>
          <w:rFonts w:cs="Arial"/>
          <w:color w:val="000000"/>
          <w:szCs w:val="24"/>
          <w:lang w:eastAsia="en-GB"/>
        </w:rPr>
      </w:pPr>
    </w:p>
    <w:p w14:paraId="21A39279" w14:textId="77777777" w:rsidR="00DC7FD5" w:rsidRPr="00B602E0" w:rsidRDefault="00DC7FD5" w:rsidP="002D0E5E">
      <w:pPr>
        <w:numPr>
          <w:ilvl w:val="0"/>
          <w:numId w:val="5"/>
        </w:numPr>
        <w:autoSpaceDE w:val="0"/>
        <w:autoSpaceDN w:val="0"/>
        <w:adjustRightInd w:val="0"/>
        <w:jc w:val="both"/>
        <w:rPr>
          <w:rFonts w:cs="Arial"/>
          <w:color w:val="000000"/>
          <w:szCs w:val="24"/>
          <w:lang w:eastAsia="en-GB"/>
        </w:rPr>
      </w:pPr>
      <w:r w:rsidRPr="00B602E0">
        <w:rPr>
          <w:rFonts w:cs="Arial"/>
          <w:color w:val="000000"/>
          <w:szCs w:val="24"/>
          <w:lang w:eastAsia="en-GB"/>
        </w:rPr>
        <w:t xml:space="preserve">There are six main factors in the calculation of the estimated surplus / (deficit) on </w:t>
      </w:r>
      <w:proofErr w:type="gramStart"/>
      <w:r w:rsidRPr="00B602E0">
        <w:rPr>
          <w:rFonts w:cs="Arial"/>
          <w:color w:val="000000"/>
          <w:szCs w:val="24"/>
          <w:lang w:eastAsia="en-GB"/>
        </w:rPr>
        <w:t>BRRS:-</w:t>
      </w:r>
      <w:proofErr w:type="gramEnd"/>
    </w:p>
    <w:p w14:paraId="1B36F337" w14:textId="77777777" w:rsidR="00DC7FD5" w:rsidRPr="00B602E0" w:rsidRDefault="00DC7FD5" w:rsidP="00DC7FD5">
      <w:pPr>
        <w:ind w:left="720"/>
        <w:rPr>
          <w:rFonts w:cs="Arial"/>
        </w:rPr>
      </w:pPr>
    </w:p>
    <w:p w14:paraId="261D54DB" w14:textId="77777777" w:rsidR="00DC7FD5" w:rsidRPr="00B602E0" w:rsidRDefault="00DC7FD5" w:rsidP="002D0E5E">
      <w:pPr>
        <w:numPr>
          <w:ilvl w:val="1"/>
          <w:numId w:val="3"/>
        </w:numPr>
        <w:tabs>
          <w:tab w:val="left" w:pos="8976"/>
        </w:tabs>
        <w:ind w:right="374"/>
        <w:rPr>
          <w:rFonts w:cs="Arial"/>
          <w:szCs w:val="24"/>
        </w:rPr>
      </w:pPr>
      <w:r w:rsidRPr="00B602E0">
        <w:rPr>
          <w:rFonts w:cs="Arial"/>
          <w:szCs w:val="24"/>
        </w:rPr>
        <w:t>Surplus / (deficit) brought forward from the previous financial year;</w:t>
      </w:r>
    </w:p>
    <w:p w14:paraId="4E4D2129" w14:textId="42A3B6AC" w:rsidR="00DC7FD5" w:rsidRPr="00B602E0" w:rsidRDefault="00DC7FD5" w:rsidP="002D0E5E">
      <w:pPr>
        <w:numPr>
          <w:ilvl w:val="1"/>
          <w:numId w:val="3"/>
        </w:numPr>
        <w:tabs>
          <w:tab w:val="left" w:pos="8976"/>
        </w:tabs>
        <w:ind w:right="374"/>
        <w:rPr>
          <w:rFonts w:cs="Arial"/>
          <w:szCs w:val="24"/>
        </w:rPr>
      </w:pPr>
      <w:r w:rsidRPr="00B602E0">
        <w:rPr>
          <w:rFonts w:cs="Arial"/>
          <w:szCs w:val="24"/>
        </w:rPr>
        <w:t xml:space="preserve">Change in the gross income due to variations relating to reliefs and exemptions; </w:t>
      </w:r>
    </w:p>
    <w:p w14:paraId="7FFE064B" w14:textId="77777777" w:rsidR="00DC7FD5" w:rsidRPr="00B602E0" w:rsidRDefault="00DC7FD5" w:rsidP="002D0E5E">
      <w:pPr>
        <w:numPr>
          <w:ilvl w:val="1"/>
          <w:numId w:val="3"/>
        </w:numPr>
        <w:tabs>
          <w:tab w:val="left" w:pos="8976"/>
        </w:tabs>
        <w:ind w:right="374"/>
        <w:rPr>
          <w:rFonts w:cs="Arial"/>
          <w:szCs w:val="24"/>
        </w:rPr>
      </w:pPr>
      <w:r w:rsidRPr="00B602E0">
        <w:rPr>
          <w:rFonts w:cs="Arial"/>
          <w:szCs w:val="24"/>
        </w:rPr>
        <w:t>Change in the expenditure in relation to reliefs and exemptions;</w:t>
      </w:r>
    </w:p>
    <w:p w14:paraId="4F447ABC" w14:textId="77777777" w:rsidR="00DC7FD5" w:rsidRPr="00B602E0" w:rsidRDefault="00DC7FD5" w:rsidP="002D0E5E">
      <w:pPr>
        <w:numPr>
          <w:ilvl w:val="1"/>
          <w:numId w:val="3"/>
        </w:numPr>
        <w:tabs>
          <w:tab w:val="left" w:pos="8976"/>
        </w:tabs>
        <w:ind w:right="374"/>
        <w:rPr>
          <w:rFonts w:cs="Arial"/>
          <w:szCs w:val="24"/>
        </w:rPr>
      </w:pPr>
      <w:r w:rsidRPr="00B602E0">
        <w:rPr>
          <w:rFonts w:cs="Arial"/>
          <w:szCs w:val="24"/>
        </w:rPr>
        <w:t>Increase / decrease in the level of appeals against rateable values;</w:t>
      </w:r>
    </w:p>
    <w:p w14:paraId="11255225" w14:textId="77777777" w:rsidR="00DC7FD5" w:rsidRPr="00B602E0" w:rsidRDefault="00DC7FD5" w:rsidP="002D0E5E">
      <w:pPr>
        <w:numPr>
          <w:ilvl w:val="0"/>
          <w:numId w:val="2"/>
        </w:numPr>
        <w:tabs>
          <w:tab w:val="left" w:pos="8976"/>
        </w:tabs>
        <w:ind w:right="257"/>
        <w:rPr>
          <w:rFonts w:cs="Arial"/>
          <w:szCs w:val="24"/>
        </w:rPr>
      </w:pPr>
      <w:r w:rsidRPr="00B602E0">
        <w:rPr>
          <w:rFonts w:cs="Arial"/>
          <w:szCs w:val="24"/>
        </w:rPr>
        <w:t>Increase / decrease in the level of bad debt provision (BDP); and</w:t>
      </w:r>
    </w:p>
    <w:p w14:paraId="5FCD12BB" w14:textId="77777777" w:rsidR="00DC7FD5" w:rsidRPr="00B602E0" w:rsidRDefault="00DC7FD5" w:rsidP="002D0E5E">
      <w:pPr>
        <w:numPr>
          <w:ilvl w:val="0"/>
          <w:numId w:val="2"/>
        </w:numPr>
        <w:tabs>
          <w:tab w:val="left" w:pos="8976"/>
        </w:tabs>
        <w:ind w:right="257"/>
        <w:rPr>
          <w:rFonts w:cs="Arial"/>
          <w:szCs w:val="24"/>
        </w:rPr>
      </w:pPr>
      <w:r w:rsidRPr="00B602E0">
        <w:rPr>
          <w:rFonts w:cs="Arial"/>
          <w:szCs w:val="24"/>
        </w:rPr>
        <w:t>Increase / decrease in the tax base due to properties being added to or removed from the Business Rates valuation list.</w:t>
      </w:r>
    </w:p>
    <w:p w14:paraId="5954801A" w14:textId="77777777" w:rsidR="00DC7FD5" w:rsidRPr="00B602E0" w:rsidRDefault="00DC7FD5" w:rsidP="00DC7FD5">
      <w:pPr>
        <w:tabs>
          <w:tab w:val="left" w:pos="8976"/>
        </w:tabs>
        <w:ind w:left="360" w:right="257"/>
        <w:rPr>
          <w:rFonts w:cs="Arial"/>
          <w:szCs w:val="24"/>
        </w:rPr>
      </w:pPr>
    </w:p>
    <w:p w14:paraId="19C33C11" w14:textId="77777777" w:rsidR="00DC7FD5" w:rsidRDefault="00DC7FD5" w:rsidP="002D0E5E">
      <w:pPr>
        <w:numPr>
          <w:ilvl w:val="0"/>
          <w:numId w:val="5"/>
        </w:numPr>
        <w:autoSpaceDE w:val="0"/>
        <w:autoSpaceDN w:val="0"/>
        <w:adjustRightInd w:val="0"/>
        <w:jc w:val="both"/>
        <w:rPr>
          <w:rFonts w:cs="Arial"/>
          <w:color w:val="000000"/>
          <w:szCs w:val="24"/>
          <w:lang w:eastAsia="en-GB"/>
        </w:rPr>
      </w:pPr>
      <w:r w:rsidRPr="00B602E0">
        <w:rPr>
          <w:rFonts w:cs="Arial"/>
          <w:color w:val="000000"/>
          <w:szCs w:val="24"/>
          <w:lang w:eastAsia="en-GB"/>
        </w:rPr>
        <w:t xml:space="preserve">The collection rate is slightly below the national </w:t>
      </w:r>
      <w:proofErr w:type="gramStart"/>
      <w:r w:rsidRPr="00B602E0">
        <w:rPr>
          <w:rFonts w:cs="Arial"/>
          <w:color w:val="000000"/>
          <w:szCs w:val="24"/>
          <w:lang w:eastAsia="en-GB"/>
        </w:rPr>
        <w:t>trend</w:t>
      </w:r>
      <w:proofErr w:type="gramEnd"/>
      <w:r w:rsidRPr="00B602E0">
        <w:rPr>
          <w:rFonts w:cs="Arial"/>
          <w:color w:val="000000"/>
          <w:szCs w:val="24"/>
          <w:lang w:eastAsia="en-GB"/>
        </w:rPr>
        <w:t xml:space="preserve"> but this is due to the fact that Harrow’s predominant ratepayers (65%) are Small Medium Enterprises (SME).  These small traders do not generally pay by the regular direct debit method of payment and as such this can cause collection challenges which contribute to Harrow’s lower collection rates.   </w:t>
      </w:r>
    </w:p>
    <w:p w14:paraId="71E40AC0" w14:textId="77777777" w:rsidR="00DC7FD5" w:rsidRPr="00B602E0" w:rsidRDefault="00DC7FD5" w:rsidP="00DC7FD5"/>
    <w:p w14:paraId="547D58E4" w14:textId="77777777" w:rsidR="00DC7FD5" w:rsidRPr="00B602E0" w:rsidRDefault="00DC7FD5" w:rsidP="00DC7FD5">
      <w:pPr>
        <w:keepNext/>
        <w:tabs>
          <w:tab w:val="left" w:pos="3600"/>
        </w:tabs>
        <w:outlineLvl w:val="3"/>
        <w:rPr>
          <w:rFonts w:cs="Arial"/>
          <w:b/>
          <w:szCs w:val="24"/>
        </w:rPr>
      </w:pPr>
      <w:r w:rsidRPr="00B602E0">
        <w:rPr>
          <w:rFonts w:cs="Arial"/>
          <w:b/>
          <w:szCs w:val="24"/>
        </w:rPr>
        <w:t>Performance Issues</w:t>
      </w:r>
      <w:r w:rsidRPr="00B602E0">
        <w:rPr>
          <w:rFonts w:cs="Arial"/>
          <w:b/>
          <w:szCs w:val="24"/>
        </w:rPr>
        <w:tab/>
      </w:r>
    </w:p>
    <w:p w14:paraId="67C80774" w14:textId="77777777" w:rsidR="00DC7FD5" w:rsidRPr="00B602E0" w:rsidRDefault="00DC7FD5" w:rsidP="002D0E5E">
      <w:pPr>
        <w:numPr>
          <w:ilvl w:val="0"/>
          <w:numId w:val="5"/>
        </w:numPr>
        <w:tabs>
          <w:tab w:val="num" w:pos="709"/>
        </w:tabs>
        <w:autoSpaceDE w:val="0"/>
        <w:autoSpaceDN w:val="0"/>
        <w:adjustRightInd w:val="0"/>
        <w:jc w:val="both"/>
        <w:rPr>
          <w:rFonts w:ascii="Verdana" w:hAnsi="Verdana" w:cs="Verdana"/>
          <w:color w:val="000000"/>
          <w:szCs w:val="24"/>
          <w:lang w:eastAsia="en-GB"/>
        </w:rPr>
      </w:pPr>
      <w:r w:rsidRPr="00B602E0">
        <w:rPr>
          <w:rFonts w:cs="Arial"/>
          <w:szCs w:val="24"/>
          <w:lang w:eastAsia="en-GB"/>
        </w:rPr>
        <w:t>There are challenges in achieving the collection target due to the make</w:t>
      </w:r>
    </w:p>
    <w:p w14:paraId="7FD2EB2B" w14:textId="77777777" w:rsidR="00DC7FD5" w:rsidRDefault="00DC7FD5" w:rsidP="00DC7FD5">
      <w:pPr>
        <w:autoSpaceDE w:val="0"/>
        <w:autoSpaceDN w:val="0"/>
        <w:adjustRightInd w:val="0"/>
        <w:ind w:left="360"/>
        <w:jc w:val="both"/>
        <w:rPr>
          <w:rFonts w:cs="Arial"/>
          <w:szCs w:val="24"/>
          <w:lang w:eastAsia="en-GB"/>
        </w:rPr>
      </w:pPr>
      <w:r w:rsidRPr="00B602E0">
        <w:rPr>
          <w:rFonts w:cs="Arial"/>
          <w:szCs w:val="24"/>
          <w:lang w:eastAsia="en-GB"/>
        </w:rPr>
        <w:t xml:space="preserve"> up and affordability power of a large percentage of our ratepayers.</w:t>
      </w:r>
    </w:p>
    <w:p w14:paraId="5994BE64" w14:textId="77777777" w:rsidR="002D0E5E" w:rsidRDefault="002D0E5E" w:rsidP="00DC7FD5">
      <w:pPr>
        <w:autoSpaceDE w:val="0"/>
        <w:autoSpaceDN w:val="0"/>
        <w:adjustRightInd w:val="0"/>
        <w:ind w:left="360"/>
        <w:jc w:val="both"/>
        <w:rPr>
          <w:rFonts w:cs="Arial"/>
          <w:szCs w:val="24"/>
          <w:lang w:eastAsia="en-GB"/>
        </w:rPr>
      </w:pPr>
    </w:p>
    <w:p w14:paraId="3A58E037" w14:textId="77777777" w:rsidR="002D0E5E" w:rsidRPr="002D0E5E" w:rsidRDefault="002D0E5E" w:rsidP="002D0E5E">
      <w:pPr>
        <w:pStyle w:val="Heading2"/>
        <w:rPr>
          <w:sz w:val="24"/>
          <w:szCs w:val="24"/>
        </w:rPr>
      </w:pPr>
      <w:r w:rsidRPr="002D0E5E">
        <w:rPr>
          <w:sz w:val="24"/>
          <w:szCs w:val="24"/>
        </w:rPr>
        <w:t xml:space="preserve">Procurement Implications </w:t>
      </w:r>
    </w:p>
    <w:p w14:paraId="7E9E684E" w14:textId="77777777" w:rsidR="002D0E5E" w:rsidRPr="002D0E5E" w:rsidRDefault="002D0E5E" w:rsidP="002D0E5E">
      <w:pPr>
        <w:pStyle w:val="Heading2"/>
        <w:numPr>
          <w:ilvl w:val="0"/>
          <w:numId w:val="5"/>
        </w:numPr>
        <w:tabs>
          <w:tab w:val="left" w:pos="567"/>
        </w:tabs>
        <w:jc w:val="both"/>
        <w:rPr>
          <w:b w:val="0"/>
          <w:sz w:val="24"/>
          <w:szCs w:val="24"/>
        </w:rPr>
      </w:pPr>
      <w:r w:rsidRPr="002D0E5E">
        <w:rPr>
          <w:b w:val="0"/>
          <w:sz w:val="24"/>
          <w:szCs w:val="24"/>
        </w:rPr>
        <w:t>T</w:t>
      </w:r>
      <w:r w:rsidRPr="002D0E5E">
        <w:rPr>
          <w:b w:val="0"/>
          <w:iCs/>
          <w:sz w:val="24"/>
          <w:szCs w:val="24"/>
        </w:rPr>
        <w:t>here are no procurement implications arising from the Recommendations of this report.</w:t>
      </w:r>
    </w:p>
    <w:p w14:paraId="1E147FBC" w14:textId="10864FF9" w:rsidR="002D0E5E" w:rsidRDefault="002D0E5E" w:rsidP="00DC7FD5">
      <w:pPr>
        <w:autoSpaceDE w:val="0"/>
        <w:autoSpaceDN w:val="0"/>
        <w:adjustRightInd w:val="0"/>
        <w:ind w:left="360"/>
        <w:jc w:val="both"/>
        <w:rPr>
          <w:rFonts w:ascii="Verdana" w:hAnsi="Verdana" w:cs="Verdana"/>
          <w:color w:val="000000"/>
          <w:szCs w:val="24"/>
          <w:lang w:eastAsia="en-GB"/>
        </w:rPr>
      </w:pPr>
    </w:p>
    <w:p w14:paraId="0BB6C7A5" w14:textId="0A90E3FE" w:rsidR="00FE405E" w:rsidRDefault="00FE405E" w:rsidP="00DC7FD5">
      <w:pPr>
        <w:autoSpaceDE w:val="0"/>
        <w:autoSpaceDN w:val="0"/>
        <w:adjustRightInd w:val="0"/>
        <w:ind w:left="360"/>
        <w:jc w:val="both"/>
        <w:rPr>
          <w:rFonts w:ascii="Verdana" w:hAnsi="Verdana" w:cs="Verdana"/>
          <w:color w:val="000000"/>
          <w:szCs w:val="24"/>
          <w:lang w:eastAsia="en-GB"/>
        </w:rPr>
      </w:pPr>
    </w:p>
    <w:p w14:paraId="73874131" w14:textId="77777777" w:rsidR="005B0B76" w:rsidRPr="002D0E5E" w:rsidRDefault="005B0B76" w:rsidP="00DC7FD5">
      <w:pPr>
        <w:autoSpaceDE w:val="0"/>
        <w:autoSpaceDN w:val="0"/>
        <w:adjustRightInd w:val="0"/>
        <w:ind w:left="360"/>
        <w:jc w:val="both"/>
        <w:rPr>
          <w:rFonts w:ascii="Verdana" w:hAnsi="Verdana" w:cs="Verdana"/>
          <w:color w:val="000000"/>
          <w:szCs w:val="24"/>
          <w:lang w:eastAsia="en-GB"/>
        </w:rPr>
      </w:pPr>
    </w:p>
    <w:p w14:paraId="0C45A89A" w14:textId="77777777" w:rsidR="00DC7FD5" w:rsidRPr="00B602E0" w:rsidRDefault="00DC7FD5" w:rsidP="00DC7FD5">
      <w:pPr>
        <w:outlineLvl w:val="1"/>
        <w:rPr>
          <w:rFonts w:cs="Arial"/>
          <w:b/>
          <w:bCs/>
          <w:szCs w:val="24"/>
        </w:rPr>
      </w:pPr>
      <w:r w:rsidRPr="00B602E0">
        <w:rPr>
          <w:rFonts w:cs="Arial"/>
          <w:b/>
          <w:bCs/>
          <w:szCs w:val="24"/>
        </w:rPr>
        <w:lastRenderedPageBreak/>
        <w:t>Risk Management Implications</w:t>
      </w:r>
    </w:p>
    <w:p w14:paraId="48B135D7" w14:textId="0D8E3430" w:rsidR="00130DEE" w:rsidRDefault="005524F6" w:rsidP="009C2B34">
      <w:pPr>
        <w:pStyle w:val="ListParagraph"/>
        <w:numPr>
          <w:ilvl w:val="0"/>
          <w:numId w:val="5"/>
        </w:numPr>
        <w:jc w:val="both"/>
        <w:rPr>
          <w:rFonts w:cs="Arial"/>
          <w:szCs w:val="24"/>
          <w:lang w:eastAsia="en-GB"/>
        </w:rPr>
      </w:pPr>
      <w:r w:rsidRPr="008320D1">
        <w:rPr>
          <w:rFonts w:cs="Arial"/>
          <w:szCs w:val="24"/>
          <w:lang w:eastAsia="en-GB"/>
        </w:rPr>
        <w:t xml:space="preserve">The outcome of the surplus or deficit estimated calculation impacts on the future financial year’s budget as it is a first call on that future budget should there be a deficit which needs funding. </w:t>
      </w:r>
    </w:p>
    <w:p w14:paraId="2374BC54" w14:textId="77777777" w:rsidR="008320D1" w:rsidRPr="008320D1" w:rsidRDefault="008320D1" w:rsidP="009C2B34">
      <w:pPr>
        <w:pStyle w:val="ListParagraph"/>
        <w:numPr>
          <w:ilvl w:val="0"/>
          <w:numId w:val="5"/>
        </w:numPr>
        <w:jc w:val="both"/>
        <w:rPr>
          <w:rFonts w:cs="Arial"/>
          <w:szCs w:val="24"/>
          <w:lang w:eastAsia="en-GB"/>
        </w:rPr>
      </w:pPr>
    </w:p>
    <w:p w14:paraId="35F31ECB" w14:textId="0C35704E" w:rsidR="00130DEE" w:rsidRPr="008558A0" w:rsidRDefault="00130DEE" w:rsidP="00130DEE">
      <w:pPr>
        <w:tabs>
          <w:tab w:val="left" w:pos="5610"/>
        </w:tabs>
        <w:suppressAutoHyphens/>
        <w:autoSpaceDN w:val="0"/>
        <w:ind w:right="81" w:hanging="567"/>
        <w:textAlignment w:val="baseline"/>
      </w:pPr>
      <w:r>
        <w:rPr>
          <w:rFonts w:cs="Arial"/>
          <w:szCs w:val="24"/>
          <w:lang w:val="en-US"/>
        </w:rPr>
        <w:tab/>
      </w:r>
      <w:r w:rsidRPr="008558A0">
        <w:rPr>
          <w:rFonts w:cs="Arial"/>
          <w:szCs w:val="24"/>
          <w:lang w:val="en-US"/>
        </w:rPr>
        <w:t xml:space="preserve">Risks included on corporate or directorate risk register? </w:t>
      </w:r>
      <w:r w:rsidRPr="008558A0">
        <w:rPr>
          <w:rFonts w:cs="Arial"/>
          <w:b/>
          <w:bCs/>
          <w:szCs w:val="24"/>
          <w:lang w:val="en-US"/>
        </w:rPr>
        <w:t>No</w:t>
      </w:r>
      <w:r w:rsidRPr="008558A0">
        <w:rPr>
          <w:rFonts w:cs="Arial"/>
          <w:szCs w:val="24"/>
          <w:lang w:val="en-US"/>
        </w:rPr>
        <w:t xml:space="preserve"> </w:t>
      </w:r>
    </w:p>
    <w:p w14:paraId="200B17B6" w14:textId="26DCDE4D" w:rsidR="00130DEE" w:rsidRPr="008558A0" w:rsidRDefault="00130DEE" w:rsidP="005B0B76">
      <w:pPr>
        <w:suppressAutoHyphens/>
        <w:autoSpaceDN w:val="0"/>
        <w:ind w:left="-709" w:right="141"/>
        <w:textAlignment w:val="baseline"/>
        <w:rPr>
          <w:rFonts w:cs="Arial"/>
          <w:szCs w:val="24"/>
          <w:lang w:val="en-US" w:eastAsia="en-GB"/>
        </w:rPr>
      </w:pPr>
      <w:r w:rsidRPr="008558A0">
        <w:rPr>
          <w:rFonts w:cs="Arial"/>
          <w:szCs w:val="24"/>
          <w:lang w:val="en-US" w:eastAsia="en-GB"/>
        </w:rPr>
        <w:t xml:space="preserve">  </w:t>
      </w:r>
      <w:r w:rsidRPr="008558A0">
        <w:rPr>
          <w:rFonts w:cs="Arial"/>
          <w:szCs w:val="24"/>
          <w:lang w:val="en-US" w:eastAsia="en-GB"/>
        </w:rPr>
        <w:tab/>
        <w:t xml:space="preserve">Separate risk register in place? </w:t>
      </w:r>
      <w:r w:rsidRPr="008558A0">
        <w:rPr>
          <w:rFonts w:cs="Arial"/>
          <w:b/>
          <w:bCs/>
          <w:szCs w:val="24"/>
          <w:lang w:val="en-US" w:eastAsia="en-GB"/>
        </w:rPr>
        <w:t>No</w:t>
      </w:r>
      <w:r w:rsidRPr="008558A0">
        <w:rPr>
          <w:rFonts w:cs="Arial"/>
          <w:szCs w:val="24"/>
          <w:lang w:val="en-US" w:eastAsia="en-GB"/>
        </w:rPr>
        <w:t xml:space="preserve"> </w:t>
      </w:r>
      <w:r w:rsidRPr="008558A0">
        <w:rPr>
          <w:rFonts w:cs="Arial"/>
          <w:szCs w:val="24"/>
          <w:lang w:eastAsia="en-GB"/>
        </w:rPr>
        <w:t>but part of overall budget risks</w:t>
      </w:r>
    </w:p>
    <w:p w14:paraId="6BA7E1DC" w14:textId="77777777" w:rsidR="00130DEE" w:rsidRPr="008558A0" w:rsidRDefault="00130DEE" w:rsidP="00130DEE">
      <w:pPr>
        <w:tabs>
          <w:tab w:val="left" w:pos="5610"/>
        </w:tabs>
        <w:suppressAutoHyphens/>
        <w:autoSpaceDN w:val="0"/>
        <w:ind w:right="81" w:hanging="567"/>
        <w:textAlignment w:val="baseline"/>
        <w:rPr>
          <w:rFonts w:cs="Arial"/>
          <w:szCs w:val="24"/>
          <w:lang w:val="en-US" w:eastAsia="en-GB"/>
        </w:rPr>
      </w:pPr>
      <w:r w:rsidRPr="008558A0">
        <w:tab/>
        <w:t xml:space="preserve">The relevant risks contained in the register are attached/summarised below. </w:t>
      </w:r>
      <w:r w:rsidRPr="008558A0">
        <w:rPr>
          <w:rFonts w:cs="Arial"/>
          <w:b/>
          <w:bCs/>
          <w:szCs w:val="24"/>
          <w:lang w:val="en-US" w:eastAsia="en-GB"/>
        </w:rPr>
        <w:t>n/a</w:t>
      </w:r>
    </w:p>
    <w:p w14:paraId="2290A35E" w14:textId="77777777" w:rsidR="00130DEE" w:rsidRPr="008558A0" w:rsidRDefault="00130DEE" w:rsidP="00130DEE">
      <w:pPr>
        <w:suppressAutoHyphens/>
        <w:autoSpaceDN w:val="0"/>
        <w:ind w:left="-567"/>
        <w:textAlignment w:val="baseline"/>
      </w:pPr>
    </w:p>
    <w:p w14:paraId="0DFE3BC5" w14:textId="6687DE2F" w:rsidR="007917B6" w:rsidRPr="00147023" w:rsidRDefault="007917B6" w:rsidP="007917B6">
      <w:pPr>
        <w:rPr>
          <w:color w:val="000000"/>
        </w:rPr>
      </w:pPr>
      <w:r>
        <w:rPr>
          <w:color w:val="000000"/>
        </w:rPr>
        <w:t>T</w:t>
      </w:r>
      <w:r w:rsidRPr="00147023">
        <w:rPr>
          <w:color w:val="000000"/>
        </w:rPr>
        <w:t>he following key risks should be taken onto account when agreeing</w:t>
      </w:r>
      <w:r>
        <w:rPr>
          <w:color w:val="000000"/>
        </w:rPr>
        <w:t xml:space="preserve"> </w:t>
      </w:r>
      <w:r w:rsidRPr="00147023">
        <w:rPr>
          <w:color w:val="000000"/>
        </w:rPr>
        <w:t>the recommendations in this report:</w:t>
      </w:r>
    </w:p>
    <w:p w14:paraId="0048B839" w14:textId="77777777" w:rsidR="005524F6" w:rsidRDefault="005524F6" w:rsidP="005524F6">
      <w:pPr>
        <w:jc w:val="both"/>
        <w:rPr>
          <w:color w:val="000000"/>
        </w:rPr>
      </w:pPr>
    </w:p>
    <w:tbl>
      <w:tblPr>
        <w:tblStyle w:val="TableGrid"/>
        <w:tblW w:w="0" w:type="auto"/>
        <w:tblLook w:val="04A0" w:firstRow="1" w:lastRow="0" w:firstColumn="1" w:lastColumn="0" w:noHBand="0" w:noVBand="1"/>
      </w:tblPr>
      <w:tblGrid>
        <w:gridCol w:w="2528"/>
        <w:gridCol w:w="5021"/>
        <w:gridCol w:w="750"/>
      </w:tblGrid>
      <w:tr w:rsidR="002F283D" w14:paraId="0A2B4601" w14:textId="16CDE4C7" w:rsidTr="001F41B1">
        <w:tc>
          <w:tcPr>
            <w:tcW w:w="2528" w:type="dxa"/>
          </w:tcPr>
          <w:p w14:paraId="00D00687" w14:textId="77777777" w:rsidR="002F283D" w:rsidRPr="007622B2" w:rsidRDefault="002F283D" w:rsidP="00F51E1F">
            <w:pPr>
              <w:jc w:val="both"/>
              <w:rPr>
                <w:b/>
                <w:bCs/>
                <w:color w:val="000000"/>
              </w:rPr>
            </w:pPr>
            <w:r w:rsidRPr="007622B2">
              <w:rPr>
                <w:b/>
                <w:bCs/>
                <w:color w:val="000000"/>
              </w:rPr>
              <w:t>Risk Identified</w:t>
            </w:r>
          </w:p>
        </w:tc>
        <w:tc>
          <w:tcPr>
            <w:tcW w:w="5021" w:type="dxa"/>
          </w:tcPr>
          <w:p w14:paraId="479715C7" w14:textId="77777777" w:rsidR="002F283D" w:rsidRPr="007622B2" w:rsidRDefault="002F283D" w:rsidP="00F51E1F">
            <w:pPr>
              <w:jc w:val="both"/>
              <w:rPr>
                <w:b/>
                <w:bCs/>
                <w:color w:val="000000"/>
              </w:rPr>
            </w:pPr>
            <w:r w:rsidRPr="007622B2">
              <w:rPr>
                <w:b/>
                <w:bCs/>
                <w:color w:val="000000"/>
              </w:rPr>
              <w:t>Mitigations</w:t>
            </w:r>
          </w:p>
        </w:tc>
        <w:tc>
          <w:tcPr>
            <w:tcW w:w="750" w:type="dxa"/>
          </w:tcPr>
          <w:p w14:paraId="73CE73C4" w14:textId="4974B7D8" w:rsidR="002F283D" w:rsidRPr="007622B2" w:rsidRDefault="002F283D" w:rsidP="00F51E1F">
            <w:pPr>
              <w:jc w:val="both"/>
              <w:rPr>
                <w:b/>
                <w:bCs/>
                <w:color w:val="000000"/>
              </w:rPr>
            </w:pPr>
            <w:r>
              <w:rPr>
                <w:b/>
                <w:bCs/>
                <w:color w:val="000000"/>
              </w:rPr>
              <w:t>RAG</w:t>
            </w:r>
          </w:p>
        </w:tc>
      </w:tr>
      <w:tr w:rsidR="002F283D" w14:paraId="2EB25290" w14:textId="709C30A5" w:rsidTr="001F41B1">
        <w:tc>
          <w:tcPr>
            <w:tcW w:w="2528" w:type="dxa"/>
          </w:tcPr>
          <w:p w14:paraId="392950D5" w14:textId="77777777" w:rsidR="002F283D" w:rsidRPr="007622B2" w:rsidRDefault="002F283D" w:rsidP="00F51E1F">
            <w:pPr>
              <w:jc w:val="both"/>
              <w:rPr>
                <w:b/>
                <w:bCs/>
                <w:color w:val="000000"/>
              </w:rPr>
            </w:pPr>
          </w:p>
        </w:tc>
        <w:tc>
          <w:tcPr>
            <w:tcW w:w="5021" w:type="dxa"/>
          </w:tcPr>
          <w:p w14:paraId="010EC543" w14:textId="77777777" w:rsidR="002F283D" w:rsidRPr="007622B2" w:rsidRDefault="002F283D" w:rsidP="00F51E1F">
            <w:pPr>
              <w:jc w:val="both"/>
              <w:rPr>
                <w:b/>
                <w:bCs/>
                <w:color w:val="000000"/>
              </w:rPr>
            </w:pPr>
          </w:p>
        </w:tc>
        <w:tc>
          <w:tcPr>
            <w:tcW w:w="750" w:type="dxa"/>
          </w:tcPr>
          <w:p w14:paraId="33030E1F" w14:textId="77777777" w:rsidR="002F283D" w:rsidRPr="007622B2" w:rsidRDefault="002F283D" w:rsidP="00F51E1F">
            <w:pPr>
              <w:jc w:val="both"/>
              <w:rPr>
                <w:b/>
                <w:bCs/>
                <w:color w:val="000000"/>
              </w:rPr>
            </w:pPr>
          </w:p>
        </w:tc>
      </w:tr>
      <w:tr w:rsidR="007917B6" w14:paraId="2EDD79A9" w14:textId="77777777" w:rsidTr="00F601CB">
        <w:tc>
          <w:tcPr>
            <w:tcW w:w="2528" w:type="dxa"/>
          </w:tcPr>
          <w:p w14:paraId="0F1EB6EE" w14:textId="5DB7DA6C" w:rsidR="007917B6" w:rsidRPr="00FF0A92" w:rsidRDefault="002204E4" w:rsidP="00F51E1F">
            <w:pPr>
              <w:jc w:val="both"/>
              <w:rPr>
                <w:b/>
                <w:bCs/>
              </w:rPr>
            </w:pPr>
            <w:r w:rsidRPr="00FF0A92">
              <w:rPr>
                <w:sz w:val="20"/>
              </w:rPr>
              <w:t>Non-compliance with legislative requirements to estimate the surplus or deficit on the Collection Fund</w:t>
            </w:r>
          </w:p>
        </w:tc>
        <w:tc>
          <w:tcPr>
            <w:tcW w:w="5021" w:type="dxa"/>
          </w:tcPr>
          <w:p w14:paraId="285C85FB" w14:textId="532AB593" w:rsidR="007917B6" w:rsidRPr="00FF0A92" w:rsidRDefault="00EB2CE0" w:rsidP="00F51E1F">
            <w:pPr>
              <w:jc w:val="both"/>
              <w:rPr>
                <w:b/>
                <w:bCs/>
              </w:rPr>
            </w:pPr>
            <w:r w:rsidRPr="00FF0A92">
              <w:rPr>
                <w:sz w:val="20"/>
              </w:rPr>
              <w:t>A deficit has been estimated for 2021/22 as per the main body of the report</w:t>
            </w:r>
          </w:p>
        </w:tc>
        <w:tc>
          <w:tcPr>
            <w:tcW w:w="750" w:type="dxa"/>
            <w:shd w:val="clear" w:color="auto" w:fill="00B050"/>
          </w:tcPr>
          <w:p w14:paraId="008CA689" w14:textId="77777777" w:rsidR="007917B6" w:rsidRPr="007622B2" w:rsidRDefault="007917B6" w:rsidP="00F51E1F">
            <w:pPr>
              <w:jc w:val="both"/>
              <w:rPr>
                <w:b/>
                <w:bCs/>
                <w:color w:val="000000"/>
              </w:rPr>
            </w:pPr>
          </w:p>
        </w:tc>
      </w:tr>
      <w:tr w:rsidR="001F41B1" w14:paraId="2EC5D946" w14:textId="77777777" w:rsidTr="00F601CB">
        <w:tc>
          <w:tcPr>
            <w:tcW w:w="2528" w:type="dxa"/>
          </w:tcPr>
          <w:p w14:paraId="0035478B" w14:textId="58B2449A" w:rsidR="001F41B1" w:rsidRPr="00FF0A92" w:rsidRDefault="001F41B1" w:rsidP="001F41B1">
            <w:pPr>
              <w:jc w:val="both"/>
              <w:rPr>
                <w:sz w:val="20"/>
              </w:rPr>
            </w:pPr>
            <w:r w:rsidRPr="00FF0A92">
              <w:rPr>
                <w:sz w:val="20"/>
              </w:rPr>
              <w:t>The deficits identified in 2020/21 &amp; 2021/22 will detrimentally impact the MTFS.</w:t>
            </w:r>
          </w:p>
        </w:tc>
        <w:tc>
          <w:tcPr>
            <w:tcW w:w="5021" w:type="dxa"/>
          </w:tcPr>
          <w:p w14:paraId="17064856" w14:textId="1F19F20F" w:rsidR="001F41B1" w:rsidRPr="00FF0A92" w:rsidRDefault="001F41B1" w:rsidP="001F41B1">
            <w:pPr>
              <w:jc w:val="both"/>
              <w:rPr>
                <w:sz w:val="20"/>
              </w:rPr>
            </w:pPr>
            <w:r w:rsidRPr="00FF0A92">
              <w:rPr>
                <w:sz w:val="20"/>
              </w:rPr>
              <w:t xml:space="preserve">Whilst these are one offs to clear the deficit over time due to the mandatory spreading, it should be noted that whilst the additional s31 and TIG (total income compensation) grants received covered almost all losses in 2020/21, they were however insufficient to cover all </w:t>
            </w:r>
            <w:proofErr w:type="spellStart"/>
            <w:r w:rsidRPr="00FF0A92">
              <w:rPr>
                <w:sz w:val="20"/>
              </w:rPr>
              <w:t>Covid</w:t>
            </w:r>
            <w:proofErr w:type="spellEnd"/>
            <w:r w:rsidRPr="00FF0A92">
              <w:rPr>
                <w:sz w:val="20"/>
              </w:rPr>
              <w:t xml:space="preserve"> related NDR &amp; </w:t>
            </w:r>
            <w:proofErr w:type="spellStart"/>
            <w:r w:rsidRPr="00FF0A92">
              <w:rPr>
                <w:sz w:val="20"/>
              </w:rPr>
              <w:t>Ctax</w:t>
            </w:r>
            <w:proofErr w:type="spellEnd"/>
            <w:r w:rsidRPr="00FF0A92">
              <w:rPr>
                <w:sz w:val="20"/>
              </w:rPr>
              <w:t xml:space="preserve"> losses in 2021/22.</w:t>
            </w:r>
          </w:p>
        </w:tc>
        <w:tc>
          <w:tcPr>
            <w:tcW w:w="750" w:type="dxa"/>
            <w:shd w:val="clear" w:color="auto" w:fill="FFC000"/>
          </w:tcPr>
          <w:p w14:paraId="6711BE7E" w14:textId="77777777" w:rsidR="001F41B1" w:rsidRPr="007622B2" w:rsidRDefault="001F41B1" w:rsidP="001F41B1">
            <w:pPr>
              <w:jc w:val="both"/>
              <w:rPr>
                <w:b/>
                <w:bCs/>
                <w:color w:val="000000"/>
              </w:rPr>
            </w:pPr>
          </w:p>
        </w:tc>
      </w:tr>
      <w:tr w:rsidR="001F41B1" w14:paraId="761FF3F7" w14:textId="63723461" w:rsidTr="001F41B1">
        <w:tc>
          <w:tcPr>
            <w:tcW w:w="2528" w:type="dxa"/>
          </w:tcPr>
          <w:p w14:paraId="0A163323" w14:textId="092948C4" w:rsidR="001F41B1" w:rsidRPr="00FF0A92" w:rsidRDefault="001F41B1" w:rsidP="001F41B1">
            <w:pPr>
              <w:rPr>
                <w:sz w:val="20"/>
              </w:rPr>
            </w:pPr>
            <w:r w:rsidRPr="00FF0A92">
              <w:rPr>
                <w:sz w:val="20"/>
              </w:rPr>
              <w:t>Calculation is inaccurate</w:t>
            </w:r>
          </w:p>
        </w:tc>
        <w:tc>
          <w:tcPr>
            <w:tcW w:w="5021" w:type="dxa"/>
          </w:tcPr>
          <w:p w14:paraId="6488BCA5" w14:textId="77777777" w:rsidR="001F41B1" w:rsidRPr="00FF0A92" w:rsidRDefault="001F41B1" w:rsidP="001F41B1">
            <w:pPr>
              <w:jc w:val="both"/>
              <w:rPr>
                <w:sz w:val="20"/>
              </w:rPr>
            </w:pPr>
            <w:r w:rsidRPr="00FF0A92">
              <w:rPr>
                <w:sz w:val="20"/>
              </w:rPr>
              <w:t>Processes in place to validate surplus or deficit calculations.</w:t>
            </w:r>
          </w:p>
          <w:p w14:paraId="3534A604" w14:textId="77777777" w:rsidR="00962E50" w:rsidRPr="00FF0A92" w:rsidRDefault="00962E50" w:rsidP="001F41B1">
            <w:pPr>
              <w:jc w:val="both"/>
              <w:rPr>
                <w:sz w:val="20"/>
              </w:rPr>
            </w:pPr>
          </w:p>
          <w:p w14:paraId="10B47602" w14:textId="3F789850" w:rsidR="00962E50" w:rsidRPr="00FF0A92" w:rsidRDefault="00962E50" w:rsidP="001F41B1">
            <w:pPr>
              <w:jc w:val="both"/>
              <w:rPr>
                <w:sz w:val="20"/>
              </w:rPr>
            </w:pPr>
            <w:r w:rsidRPr="00FF0A92">
              <w:rPr>
                <w:sz w:val="20"/>
              </w:rPr>
              <w:t xml:space="preserve">Officers have estimated the surplus/(deficit) by adhering to provisions and appeals guidance regarding the amounts that are required, </w:t>
            </w:r>
            <w:proofErr w:type="gramStart"/>
            <w:r w:rsidRPr="00FF0A92">
              <w:rPr>
                <w:sz w:val="20"/>
              </w:rPr>
              <w:t>tak</w:t>
            </w:r>
            <w:r w:rsidR="00702797">
              <w:rPr>
                <w:sz w:val="20"/>
              </w:rPr>
              <w:t>ing</w:t>
            </w:r>
            <w:r w:rsidRPr="00FF0A92">
              <w:rPr>
                <w:sz w:val="20"/>
              </w:rPr>
              <w:t xml:space="preserve"> into account</w:t>
            </w:r>
            <w:proofErr w:type="gramEnd"/>
            <w:r w:rsidRPr="00FF0A92">
              <w:rPr>
                <w:sz w:val="20"/>
              </w:rPr>
              <w:t xml:space="preserve"> current level of arrears or appeals lodged or that may be lodged in future</w:t>
            </w:r>
          </w:p>
        </w:tc>
        <w:tc>
          <w:tcPr>
            <w:tcW w:w="750" w:type="dxa"/>
            <w:shd w:val="clear" w:color="auto" w:fill="00B050"/>
          </w:tcPr>
          <w:p w14:paraId="2F50461B" w14:textId="77777777" w:rsidR="001F41B1" w:rsidRPr="00CD50F5" w:rsidRDefault="001F41B1" w:rsidP="001F41B1">
            <w:pPr>
              <w:jc w:val="both"/>
              <w:rPr>
                <w:color w:val="000000"/>
                <w:sz w:val="20"/>
              </w:rPr>
            </w:pPr>
          </w:p>
        </w:tc>
      </w:tr>
      <w:tr w:rsidR="001F41B1" w14:paraId="4AD0A325" w14:textId="54E22C5B" w:rsidTr="001F41B1">
        <w:tc>
          <w:tcPr>
            <w:tcW w:w="2528" w:type="dxa"/>
          </w:tcPr>
          <w:p w14:paraId="4E2DA6AE" w14:textId="718AAD04" w:rsidR="001F41B1" w:rsidRPr="00CD50F5" w:rsidRDefault="001F41B1" w:rsidP="001F41B1">
            <w:pPr>
              <w:rPr>
                <w:color w:val="000000"/>
                <w:sz w:val="20"/>
              </w:rPr>
            </w:pPr>
            <w:r w:rsidRPr="00CD50F5">
              <w:rPr>
                <w:color w:val="000000"/>
                <w:sz w:val="20"/>
              </w:rPr>
              <w:t>Potential</w:t>
            </w:r>
            <w:r>
              <w:rPr>
                <w:color w:val="000000"/>
                <w:sz w:val="20"/>
              </w:rPr>
              <w:t xml:space="preserve"> unexpected </w:t>
            </w:r>
            <w:r w:rsidRPr="00CD50F5">
              <w:rPr>
                <w:color w:val="000000"/>
                <w:sz w:val="20"/>
              </w:rPr>
              <w:t>increases in CTS caseload, both pensioner and working age, which may mean a</w:t>
            </w:r>
            <w:r>
              <w:rPr>
                <w:color w:val="000000"/>
                <w:sz w:val="20"/>
              </w:rPr>
              <w:t xml:space="preserve"> bigger deficit on council tax if CTS </w:t>
            </w:r>
            <w:r w:rsidRPr="00CD50F5">
              <w:rPr>
                <w:color w:val="000000"/>
                <w:sz w:val="20"/>
              </w:rPr>
              <w:t>support</w:t>
            </w:r>
            <w:r>
              <w:rPr>
                <w:color w:val="000000"/>
                <w:sz w:val="20"/>
              </w:rPr>
              <w:t xml:space="preserve"> is above </w:t>
            </w:r>
            <w:r w:rsidRPr="00CD50F5">
              <w:rPr>
                <w:color w:val="000000"/>
                <w:sz w:val="20"/>
              </w:rPr>
              <w:t>that budgeted for because of</w:t>
            </w:r>
          </w:p>
          <w:p w14:paraId="48603FC5" w14:textId="0B764AAA" w:rsidR="001F41B1" w:rsidRDefault="001F41B1" w:rsidP="001F41B1">
            <w:pPr>
              <w:pStyle w:val="ListParagraph"/>
              <w:numPr>
                <w:ilvl w:val="0"/>
                <w:numId w:val="7"/>
              </w:numPr>
              <w:rPr>
                <w:color w:val="000000"/>
                <w:sz w:val="20"/>
              </w:rPr>
            </w:pPr>
            <w:r w:rsidRPr="00CD50F5">
              <w:rPr>
                <w:color w:val="000000"/>
                <w:sz w:val="20"/>
              </w:rPr>
              <w:t>On-going pandemic</w:t>
            </w:r>
          </w:p>
          <w:p w14:paraId="541B1B5F" w14:textId="4FBF61C8" w:rsidR="001F41B1" w:rsidRPr="00CD50F5" w:rsidRDefault="001F41B1" w:rsidP="001F41B1">
            <w:pPr>
              <w:pStyle w:val="ListParagraph"/>
              <w:numPr>
                <w:ilvl w:val="0"/>
                <w:numId w:val="7"/>
              </w:numPr>
              <w:rPr>
                <w:color w:val="000000"/>
                <w:sz w:val="20"/>
              </w:rPr>
            </w:pPr>
            <w:r>
              <w:rPr>
                <w:color w:val="000000"/>
                <w:sz w:val="20"/>
              </w:rPr>
              <w:t>Lower collection rates due to higher unemployment</w:t>
            </w:r>
          </w:p>
          <w:p w14:paraId="2F7B4B40" w14:textId="701C5F06" w:rsidR="001F41B1" w:rsidRPr="00CD50F5" w:rsidRDefault="001F41B1" w:rsidP="001F41B1">
            <w:pPr>
              <w:pStyle w:val="ListParagraph"/>
              <w:rPr>
                <w:color w:val="000000"/>
                <w:sz w:val="20"/>
              </w:rPr>
            </w:pPr>
          </w:p>
        </w:tc>
        <w:tc>
          <w:tcPr>
            <w:tcW w:w="5021" w:type="dxa"/>
          </w:tcPr>
          <w:p w14:paraId="05AF47A2" w14:textId="2B69C409" w:rsidR="001F41B1" w:rsidRDefault="001F41B1" w:rsidP="001F41B1">
            <w:pPr>
              <w:jc w:val="both"/>
              <w:rPr>
                <w:color w:val="000000"/>
                <w:sz w:val="20"/>
              </w:rPr>
            </w:pPr>
            <w:r>
              <w:rPr>
                <w:color w:val="000000"/>
                <w:sz w:val="20"/>
              </w:rPr>
              <w:t>The surplus / deficit simply represents the snapshot position expected as at 31</w:t>
            </w:r>
            <w:r w:rsidRPr="005524F6">
              <w:rPr>
                <w:color w:val="000000"/>
                <w:sz w:val="20"/>
                <w:vertAlign w:val="superscript"/>
              </w:rPr>
              <w:t>st</w:t>
            </w:r>
            <w:r>
              <w:rPr>
                <w:color w:val="000000"/>
                <w:sz w:val="20"/>
                <w:vertAlign w:val="superscript"/>
              </w:rPr>
              <w:t xml:space="preserve"> </w:t>
            </w:r>
            <w:r>
              <w:rPr>
                <w:color w:val="000000"/>
                <w:sz w:val="20"/>
              </w:rPr>
              <w:t>March. Any differences would be accounted for once actuals are known, as part of the new financial year’s calculation, therefore not affecting 2022/23 financial year, but 2023/24.</w:t>
            </w:r>
          </w:p>
          <w:p w14:paraId="64EDA709" w14:textId="77777777" w:rsidR="001F41B1" w:rsidRPr="00CD50F5" w:rsidRDefault="001F41B1" w:rsidP="001F41B1">
            <w:pPr>
              <w:jc w:val="both"/>
              <w:rPr>
                <w:color w:val="000000"/>
                <w:sz w:val="20"/>
              </w:rPr>
            </w:pPr>
          </w:p>
          <w:p w14:paraId="305BBF8F" w14:textId="4C0A372B" w:rsidR="001F41B1" w:rsidRPr="00CD50F5" w:rsidRDefault="001F41B1" w:rsidP="001F41B1">
            <w:pPr>
              <w:jc w:val="both"/>
              <w:rPr>
                <w:color w:val="000000"/>
                <w:sz w:val="20"/>
              </w:rPr>
            </w:pPr>
            <w:r w:rsidRPr="00CD50F5">
              <w:rPr>
                <w:color w:val="000000"/>
                <w:sz w:val="20"/>
              </w:rPr>
              <w:t xml:space="preserve">This will mean that </w:t>
            </w:r>
            <w:r>
              <w:rPr>
                <w:color w:val="000000"/>
                <w:sz w:val="20"/>
              </w:rPr>
              <w:t xml:space="preserve">the </w:t>
            </w:r>
            <w:r w:rsidRPr="00CD50F5">
              <w:rPr>
                <w:color w:val="000000"/>
                <w:sz w:val="20"/>
              </w:rPr>
              <w:t>collection fund would be advers</w:t>
            </w:r>
            <w:r>
              <w:rPr>
                <w:color w:val="000000"/>
                <w:sz w:val="20"/>
              </w:rPr>
              <w:t>e</w:t>
            </w:r>
            <w:r w:rsidRPr="00CD50F5">
              <w:rPr>
                <w:color w:val="000000"/>
                <w:sz w:val="20"/>
              </w:rPr>
              <w:t>ly affected in the first instance</w:t>
            </w:r>
            <w:r>
              <w:rPr>
                <w:color w:val="000000"/>
                <w:sz w:val="20"/>
              </w:rPr>
              <w:t xml:space="preserve">, not the revenue budget, </w:t>
            </w:r>
            <w:r w:rsidRPr="00CD50F5">
              <w:rPr>
                <w:color w:val="000000"/>
                <w:sz w:val="20"/>
              </w:rPr>
              <w:t xml:space="preserve">and </w:t>
            </w:r>
            <w:r>
              <w:rPr>
                <w:color w:val="000000"/>
                <w:sz w:val="20"/>
              </w:rPr>
              <w:t xml:space="preserve">there </w:t>
            </w:r>
            <w:r w:rsidRPr="00CD50F5">
              <w:rPr>
                <w:color w:val="000000"/>
                <w:sz w:val="20"/>
              </w:rPr>
              <w:t xml:space="preserve">would be no immediate risk to the budget. This would </w:t>
            </w:r>
            <w:r>
              <w:rPr>
                <w:color w:val="000000"/>
                <w:sz w:val="20"/>
              </w:rPr>
              <w:t>allow</w:t>
            </w:r>
            <w:r w:rsidRPr="00CD50F5">
              <w:rPr>
                <w:color w:val="000000"/>
                <w:sz w:val="20"/>
              </w:rPr>
              <w:t xml:space="preserve"> the local authority </w:t>
            </w:r>
            <w:r>
              <w:rPr>
                <w:color w:val="000000"/>
                <w:sz w:val="20"/>
              </w:rPr>
              <w:t xml:space="preserve">an additional year </w:t>
            </w:r>
            <w:r w:rsidRPr="00CD50F5">
              <w:rPr>
                <w:color w:val="000000"/>
                <w:sz w:val="20"/>
              </w:rPr>
              <w:t xml:space="preserve">to clear the collection fund deficit therefore </w:t>
            </w:r>
            <w:r>
              <w:rPr>
                <w:color w:val="000000"/>
                <w:sz w:val="20"/>
              </w:rPr>
              <w:t>giving Harrow time to plan to clear any shortfall without endangering the 2022/23 budget.</w:t>
            </w:r>
          </w:p>
        </w:tc>
        <w:tc>
          <w:tcPr>
            <w:tcW w:w="750" w:type="dxa"/>
            <w:shd w:val="clear" w:color="auto" w:fill="FFC000"/>
          </w:tcPr>
          <w:p w14:paraId="03CC723C" w14:textId="77777777" w:rsidR="001F41B1" w:rsidRDefault="001F41B1" w:rsidP="001F41B1">
            <w:pPr>
              <w:jc w:val="both"/>
              <w:rPr>
                <w:color w:val="000000"/>
                <w:sz w:val="20"/>
              </w:rPr>
            </w:pPr>
          </w:p>
        </w:tc>
      </w:tr>
      <w:tr w:rsidR="001F41B1" w14:paraId="72516C9B" w14:textId="6FA9660B" w:rsidTr="006145A2">
        <w:tc>
          <w:tcPr>
            <w:tcW w:w="2528" w:type="dxa"/>
          </w:tcPr>
          <w:p w14:paraId="6CA748E1" w14:textId="6C07E182" w:rsidR="001F41B1" w:rsidRPr="00CD50F5" w:rsidRDefault="001F41B1" w:rsidP="001F41B1">
            <w:pPr>
              <w:rPr>
                <w:color w:val="000000"/>
                <w:sz w:val="20"/>
              </w:rPr>
            </w:pPr>
            <w:r>
              <w:rPr>
                <w:color w:val="000000"/>
                <w:sz w:val="20"/>
              </w:rPr>
              <w:t>The larger than expected NDR deficit impacts Harrow</w:t>
            </w:r>
          </w:p>
        </w:tc>
        <w:tc>
          <w:tcPr>
            <w:tcW w:w="5021" w:type="dxa"/>
          </w:tcPr>
          <w:p w14:paraId="393BE6AD" w14:textId="56D633E6" w:rsidR="001F41B1" w:rsidRDefault="001F41B1" w:rsidP="001F41B1">
            <w:pPr>
              <w:jc w:val="both"/>
              <w:rPr>
                <w:color w:val="000000"/>
                <w:sz w:val="20"/>
              </w:rPr>
            </w:pPr>
            <w:r>
              <w:rPr>
                <w:color w:val="000000"/>
                <w:sz w:val="20"/>
              </w:rPr>
              <w:t>Harrow’s retention from business rates is around £15m. Detrimental impacts on collection performance or bad debt provisions will therefore be proportionate to the income. As such this does not pose a huge risk.</w:t>
            </w:r>
          </w:p>
          <w:p w14:paraId="7CDE30F3" w14:textId="77777777" w:rsidR="001F41B1" w:rsidRDefault="001F41B1" w:rsidP="001F41B1">
            <w:pPr>
              <w:jc w:val="both"/>
              <w:rPr>
                <w:color w:val="000000"/>
                <w:sz w:val="20"/>
              </w:rPr>
            </w:pPr>
          </w:p>
          <w:p w14:paraId="68A3E33C" w14:textId="251ED3ED" w:rsidR="001F41B1" w:rsidRDefault="001F41B1" w:rsidP="001F41B1">
            <w:pPr>
              <w:jc w:val="both"/>
              <w:rPr>
                <w:color w:val="000000"/>
                <w:sz w:val="20"/>
              </w:rPr>
            </w:pPr>
            <w:r>
              <w:rPr>
                <w:color w:val="000000"/>
                <w:sz w:val="20"/>
              </w:rPr>
              <w:t>However, if Government changes the rules regarding retail relief, Harrow will be compensated 100% for their lost share of rate retention via s31 grant and as such will bear no cost.</w:t>
            </w:r>
          </w:p>
        </w:tc>
        <w:tc>
          <w:tcPr>
            <w:tcW w:w="750" w:type="dxa"/>
            <w:shd w:val="clear" w:color="auto" w:fill="00B050"/>
          </w:tcPr>
          <w:p w14:paraId="50BCACA1" w14:textId="77777777" w:rsidR="001F41B1" w:rsidRDefault="001F41B1" w:rsidP="001F41B1">
            <w:pPr>
              <w:jc w:val="both"/>
              <w:rPr>
                <w:color w:val="000000"/>
                <w:sz w:val="20"/>
              </w:rPr>
            </w:pPr>
          </w:p>
        </w:tc>
      </w:tr>
    </w:tbl>
    <w:p w14:paraId="410FA63F" w14:textId="77777777" w:rsidR="005524F6" w:rsidRPr="005F4153" w:rsidRDefault="005524F6" w:rsidP="005524F6">
      <w:pPr>
        <w:jc w:val="both"/>
        <w:rPr>
          <w:color w:val="000000"/>
        </w:rPr>
      </w:pPr>
    </w:p>
    <w:p w14:paraId="339133FA" w14:textId="77777777" w:rsidR="005524F6" w:rsidRDefault="005524F6" w:rsidP="005524F6">
      <w:pPr>
        <w:jc w:val="both"/>
        <w:rPr>
          <w:b/>
          <w:color w:val="000000"/>
          <w:sz w:val="28"/>
          <w:szCs w:val="28"/>
        </w:rPr>
      </w:pPr>
    </w:p>
    <w:p w14:paraId="22C63F80" w14:textId="77777777" w:rsidR="00DC7FD5" w:rsidRPr="002D0E5E" w:rsidRDefault="00DC7FD5" w:rsidP="00DC7FD5">
      <w:pPr>
        <w:outlineLvl w:val="1"/>
        <w:rPr>
          <w:rFonts w:cs="Arial"/>
          <w:b/>
          <w:bCs/>
          <w:szCs w:val="24"/>
        </w:rPr>
      </w:pPr>
      <w:r w:rsidRPr="002D0E5E">
        <w:rPr>
          <w:rFonts w:cs="Arial"/>
          <w:b/>
          <w:bCs/>
          <w:szCs w:val="24"/>
        </w:rPr>
        <w:t>Legal Implications</w:t>
      </w:r>
    </w:p>
    <w:p w14:paraId="2A7EDCBB" w14:textId="77777777" w:rsidR="00DC7FD5" w:rsidRPr="00B602E0" w:rsidRDefault="00DC7FD5" w:rsidP="002D0E5E">
      <w:pPr>
        <w:numPr>
          <w:ilvl w:val="0"/>
          <w:numId w:val="5"/>
        </w:numPr>
        <w:jc w:val="both"/>
        <w:rPr>
          <w:rFonts w:cs="Arial"/>
          <w:szCs w:val="24"/>
        </w:rPr>
      </w:pPr>
      <w:bookmarkStart w:id="2" w:name="_Hlk87435918"/>
      <w:r w:rsidRPr="00B602E0">
        <w:rPr>
          <w:rFonts w:cs="Arial"/>
          <w:szCs w:val="24"/>
        </w:rPr>
        <w:t>The Local Authorities (Funds) (England) Regulations 1992 (SI 2428) requires the billing authority to estimate each financial year the surplus or (deficit) on its Collection Fund for the preceding financial year by 15</w:t>
      </w:r>
      <w:r w:rsidRPr="00B602E0">
        <w:rPr>
          <w:rFonts w:cs="Arial"/>
          <w:szCs w:val="24"/>
          <w:vertAlign w:val="superscript"/>
        </w:rPr>
        <w:t>th</w:t>
      </w:r>
      <w:r w:rsidRPr="00B602E0">
        <w:rPr>
          <w:rFonts w:cs="Arial"/>
          <w:szCs w:val="24"/>
        </w:rPr>
        <w:t xml:space="preserve"> January each year, or the first working day thereafter if the 15</w:t>
      </w:r>
      <w:r w:rsidRPr="00B602E0">
        <w:rPr>
          <w:rFonts w:cs="Arial"/>
          <w:szCs w:val="24"/>
          <w:vertAlign w:val="superscript"/>
        </w:rPr>
        <w:t>th</w:t>
      </w:r>
      <w:r w:rsidRPr="00B602E0">
        <w:rPr>
          <w:rFonts w:cs="Arial"/>
          <w:szCs w:val="24"/>
        </w:rPr>
        <w:t xml:space="preserve"> falls on a weekend or bank holiday.</w:t>
      </w:r>
    </w:p>
    <w:bookmarkEnd w:id="2"/>
    <w:p w14:paraId="5FE6B37F" w14:textId="77777777" w:rsidR="00DC7FD5" w:rsidRPr="00B602E0" w:rsidRDefault="00DC7FD5" w:rsidP="00DC7FD5">
      <w:pPr>
        <w:ind w:left="360"/>
        <w:jc w:val="both"/>
        <w:rPr>
          <w:rFonts w:cs="Arial"/>
          <w:szCs w:val="24"/>
        </w:rPr>
      </w:pPr>
    </w:p>
    <w:p w14:paraId="3080E681" w14:textId="77777777" w:rsidR="00DC7FD5" w:rsidRDefault="00DC7FD5" w:rsidP="002D0E5E">
      <w:pPr>
        <w:numPr>
          <w:ilvl w:val="0"/>
          <w:numId w:val="5"/>
        </w:numPr>
        <w:jc w:val="both"/>
        <w:rPr>
          <w:rFonts w:cs="Arial"/>
          <w:szCs w:val="24"/>
        </w:rPr>
      </w:pPr>
      <w:r w:rsidRPr="00B602E0">
        <w:rPr>
          <w:rFonts w:cs="Arial"/>
          <w:szCs w:val="24"/>
        </w:rPr>
        <w:t>The Non-Domestic Rating (Rates Retention) Regulations 2013 (SI 452) requires the billing authority to estimate, for the relevant year, the surplus or (deficit) for business rates on or before 31</w:t>
      </w:r>
      <w:r w:rsidRPr="00B602E0">
        <w:rPr>
          <w:rFonts w:cs="Arial"/>
          <w:szCs w:val="24"/>
          <w:vertAlign w:val="superscript"/>
        </w:rPr>
        <w:t>st</w:t>
      </w:r>
      <w:r w:rsidRPr="00B602E0">
        <w:rPr>
          <w:rFonts w:cs="Arial"/>
          <w:szCs w:val="24"/>
        </w:rPr>
        <w:t xml:space="preserve"> January each year. </w:t>
      </w:r>
    </w:p>
    <w:p w14:paraId="5C17B4C2" w14:textId="77777777" w:rsidR="002436E8" w:rsidRDefault="002436E8" w:rsidP="002436E8">
      <w:pPr>
        <w:pStyle w:val="ListParagraph"/>
        <w:rPr>
          <w:rFonts w:cs="Arial"/>
          <w:szCs w:val="24"/>
        </w:rPr>
      </w:pPr>
    </w:p>
    <w:p w14:paraId="147E64C6" w14:textId="77777777" w:rsidR="002436E8" w:rsidRDefault="002436E8" w:rsidP="002436E8">
      <w:pPr>
        <w:numPr>
          <w:ilvl w:val="0"/>
          <w:numId w:val="5"/>
        </w:numPr>
        <w:jc w:val="both"/>
        <w:rPr>
          <w:rFonts w:cs="Arial"/>
          <w:color w:val="000000"/>
          <w:szCs w:val="24"/>
          <w:lang w:val="en" w:eastAsia="en-GB"/>
        </w:rPr>
      </w:pPr>
      <w:r>
        <w:rPr>
          <w:rFonts w:cs="Arial"/>
          <w:color w:val="000000"/>
          <w:szCs w:val="24"/>
          <w:lang w:val="en" w:eastAsia="en-GB"/>
        </w:rPr>
        <w:t xml:space="preserve">Article </w:t>
      </w:r>
      <w:r>
        <w:rPr>
          <w:rFonts w:cs="Arial"/>
        </w:rPr>
        <w:t>13</w:t>
      </w:r>
      <w:r>
        <w:rPr>
          <w:rFonts w:cs="Arial"/>
          <w:color w:val="000000"/>
          <w:szCs w:val="24"/>
          <w:lang w:val="en" w:eastAsia="en-GB"/>
        </w:rPr>
        <w:t xml:space="preserve"> of the Council’s Constitution states a key decision is an executive decision which:</w:t>
      </w:r>
    </w:p>
    <w:p w14:paraId="4FECC1CA" w14:textId="77777777" w:rsidR="002436E8" w:rsidRDefault="002436E8" w:rsidP="002436E8">
      <w:pPr>
        <w:ind w:left="851" w:hanging="491"/>
        <w:jc w:val="both"/>
        <w:rPr>
          <w:rFonts w:cs="Arial"/>
          <w:color w:val="000000"/>
          <w:szCs w:val="24"/>
          <w:lang w:val="en" w:eastAsia="en-GB"/>
        </w:rPr>
      </w:pPr>
      <w:r>
        <w:rPr>
          <w:rFonts w:cs="Arial"/>
          <w:color w:val="000000"/>
          <w:szCs w:val="24"/>
          <w:lang w:val="en" w:eastAsia="en-GB"/>
        </w:rPr>
        <w:t>(</w:t>
      </w:r>
      <w:proofErr w:type="spellStart"/>
      <w:r>
        <w:rPr>
          <w:rFonts w:cs="Arial"/>
          <w:color w:val="000000"/>
          <w:szCs w:val="24"/>
          <w:lang w:val="en" w:eastAsia="en-GB"/>
        </w:rPr>
        <w:t>i</w:t>
      </w:r>
      <w:proofErr w:type="spellEnd"/>
      <w:r>
        <w:rPr>
          <w:rFonts w:cs="Arial"/>
          <w:color w:val="000000"/>
          <w:szCs w:val="24"/>
          <w:lang w:val="en" w:eastAsia="en-GB"/>
        </w:rPr>
        <w:t xml:space="preserve">) </w:t>
      </w:r>
      <w:r>
        <w:rPr>
          <w:rFonts w:cs="Arial"/>
          <w:color w:val="000000"/>
          <w:szCs w:val="24"/>
          <w:lang w:val="en" w:eastAsia="en-GB"/>
        </w:rPr>
        <w:tab/>
        <w:t>is likely to result in the Council incurring expenditure which is, or the making of savings which are, significant having regard to the Council’s budget for the service or function to which the decision relates; or</w:t>
      </w:r>
    </w:p>
    <w:p w14:paraId="48D3559F" w14:textId="77777777" w:rsidR="002436E8" w:rsidRDefault="002436E8" w:rsidP="002436E8">
      <w:pPr>
        <w:ind w:left="851" w:hanging="491"/>
        <w:jc w:val="both"/>
        <w:rPr>
          <w:rFonts w:cs="Arial"/>
          <w:color w:val="000000"/>
          <w:szCs w:val="24"/>
          <w:lang w:val="en" w:eastAsia="en-GB"/>
        </w:rPr>
      </w:pPr>
      <w:r>
        <w:rPr>
          <w:rFonts w:cs="Arial"/>
          <w:color w:val="000000"/>
          <w:szCs w:val="24"/>
          <w:lang w:val="en" w:eastAsia="en-GB"/>
        </w:rPr>
        <w:t xml:space="preserve">(ii) </w:t>
      </w:r>
      <w:r>
        <w:rPr>
          <w:rFonts w:cs="Arial"/>
          <w:color w:val="000000"/>
          <w:szCs w:val="24"/>
          <w:lang w:val="en" w:eastAsia="en-GB"/>
        </w:rPr>
        <w:tab/>
        <w:t xml:space="preserve">is likely to be significant in terms of its effects on communities living or working in an area of two or more wards of the Borough. </w:t>
      </w:r>
    </w:p>
    <w:p w14:paraId="6E889C89" w14:textId="77777777" w:rsidR="002436E8" w:rsidRDefault="002436E8" w:rsidP="002436E8">
      <w:pPr>
        <w:ind w:left="360"/>
        <w:jc w:val="both"/>
        <w:rPr>
          <w:rFonts w:cs="Arial"/>
          <w:color w:val="000000"/>
          <w:szCs w:val="24"/>
          <w:lang w:val="en" w:eastAsia="en-GB"/>
        </w:rPr>
      </w:pPr>
    </w:p>
    <w:p w14:paraId="09EA2391" w14:textId="77777777" w:rsidR="002436E8" w:rsidRPr="00172FB0" w:rsidRDefault="002436E8" w:rsidP="002436E8">
      <w:pPr>
        <w:numPr>
          <w:ilvl w:val="0"/>
          <w:numId w:val="5"/>
        </w:numPr>
        <w:jc w:val="both"/>
        <w:rPr>
          <w:rFonts w:cs="Arial"/>
          <w:szCs w:val="24"/>
        </w:rPr>
      </w:pPr>
      <w:r>
        <w:rPr>
          <w:rFonts w:cs="Arial"/>
          <w:color w:val="000000"/>
          <w:szCs w:val="24"/>
          <w:lang w:val="en" w:eastAsia="en-GB"/>
        </w:rPr>
        <w:t xml:space="preserve">A </w:t>
      </w:r>
      <w:r w:rsidRPr="00386DB6">
        <w:rPr>
          <w:rFonts w:cs="Arial"/>
        </w:rPr>
        <w:t>decision</w:t>
      </w:r>
      <w:r>
        <w:rPr>
          <w:rFonts w:cs="Arial"/>
          <w:color w:val="000000"/>
          <w:szCs w:val="24"/>
          <w:lang w:val="en" w:eastAsia="en-GB"/>
        </w:rPr>
        <w:t xml:space="preserve"> is significant for the purposes of (</w:t>
      </w:r>
      <w:proofErr w:type="spellStart"/>
      <w:r>
        <w:rPr>
          <w:rFonts w:cs="Arial"/>
          <w:color w:val="000000"/>
          <w:szCs w:val="24"/>
          <w:lang w:val="en" w:eastAsia="en-GB"/>
        </w:rPr>
        <w:t>i</w:t>
      </w:r>
      <w:proofErr w:type="spellEnd"/>
      <w:r>
        <w:rPr>
          <w:rFonts w:cs="Arial"/>
          <w:color w:val="000000"/>
          <w:szCs w:val="24"/>
          <w:lang w:val="en" w:eastAsia="en-GB"/>
        </w:rPr>
        <w:t xml:space="preserve">) above if it involves </w:t>
      </w:r>
      <w:r>
        <w:rPr>
          <w:rFonts w:cs="Arial"/>
        </w:rPr>
        <w:t>expenditure</w:t>
      </w:r>
      <w:r>
        <w:rPr>
          <w:rFonts w:cs="Arial"/>
          <w:color w:val="000000"/>
          <w:szCs w:val="24"/>
          <w:lang w:val="en" w:eastAsia="en-GB"/>
        </w:rPr>
        <w:t xml:space="preserve"> or the making of savings of an amount in excess of £1m for capital expenditure or £500,000 for revenue expenditure or, where expenditure or savings are less than the amounts specified above, they constitute more than 50% of the budget attributable to the service in question.</w:t>
      </w:r>
    </w:p>
    <w:p w14:paraId="76632573" w14:textId="77777777" w:rsidR="002436E8" w:rsidRPr="00B602E0" w:rsidRDefault="002436E8" w:rsidP="002436E8">
      <w:pPr>
        <w:ind w:left="360"/>
        <w:jc w:val="both"/>
        <w:rPr>
          <w:rFonts w:cs="Arial"/>
          <w:szCs w:val="24"/>
        </w:rPr>
      </w:pPr>
      <w:bookmarkStart w:id="3" w:name="LastEdit"/>
      <w:bookmarkEnd w:id="3"/>
    </w:p>
    <w:p w14:paraId="54A09A52" w14:textId="77777777" w:rsidR="00DC7FD5" w:rsidRPr="002D0E5E" w:rsidRDefault="00DC7FD5" w:rsidP="00DC7FD5">
      <w:pPr>
        <w:jc w:val="both"/>
        <w:outlineLvl w:val="1"/>
        <w:rPr>
          <w:rFonts w:cs="Arial"/>
          <w:b/>
          <w:bCs/>
          <w:szCs w:val="24"/>
        </w:rPr>
      </w:pPr>
      <w:r w:rsidRPr="002D0E5E">
        <w:rPr>
          <w:rFonts w:cs="Arial"/>
          <w:b/>
          <w:bCs/>
          <w:szCs w:val="24"/>
        </w:rPr>
        <w:t>Financial Implications</w:t>
      </w:r>
    </w:p>
    <w:p w14:paraId="7C8D1D7D" w14:textId="77777777" w:rsidR="003B3A0A" w:rsidRDefault="00DC7FD5" w:rsidP="002D0E5E">
      <w:pPr>
        <w:numPr>
          <w:ilvl w:val="0"/>
          <w:numId w:val="5"/>
        </w:numPr>
        <w:tabs>
          <w:tab w:val="num" w:pos="709"/>
        </w:tabs>
        <w:jc w:val="both"/>
      </w:pPr>
      <w:r w:rsidRPr="00B602E0">
        <w:t>Financial matters are integral to the report.</w:t>
      </w:r>
      <w:r>
        <w:t xml:space="preserve"> High collection rates feed into the budget and it is imperative that this level of performance continues, specifically regarding Council Tax as this is now the Council’s largest income stream. Harrow’s rates compare well with the national position and against London.</w:t>
      </w:r>
      <w:r w:rsidR="00FA247E">
        <w:t xml:space="preserve"> </w:t>
      </w:r>
    </w:p>
    <w:p w14:paraId="494899D9" w14:textId="77777777" w:rsidR="003B3A0A" w:rsidRDefault="003B3A0A" w:rsidP="003B3A0A">
      <w:pPr>
        <w:tabs>
          <w:tab w:val="num" w:pos="709"/>
        </w:tabs>
        <w:jc w:val="both"/>
      </w:pPr>
    </w:p>
    <w:p w14:paraId="304D2B35" w14:textId="6287B7A0" w:rsidR="00DC7FD5" w:rsidRDefault="00694CBB" w:rsidP="003B3A0A">
      <w:pPr>
        <w:tabs>
          <w:tab w:val="num" w:pos="709"/>
        </w:tabs>
        <w:ind w:left="360"/>
        <w:jc w:val="both"/>
      </w:pPr>
      <w:r>
        <w:t>The deficits will impact the MTFS. For 2022/23 there will be a £52k</w:t>
      </w:r>
      <w:r w:rsidR="00A520B6">
        <w:t xml:space="preserve"> cost to the general fund and in 2023/24 a further £393k. Whilst these are one offs to clear the </w:t>
      </w:r>
      <w:r w:rsidR="00442A52">
        <w:t xml:space="preserve">deficit over time due to the mandatory spreading, </w:t>
      </w:r>
      <w:r w:rsidR="00351F2E">
        <w:t>it should be note</w:t>
      </w:r>
      <w:r w:rsidR="004E1BCB">
        <w:t>d</w:t>
      </w:r>
      <w:r w:rsidR="00351F2E">
        <w:t xml:space="preserve"> </w:t>
      </w:r>
      <w:r w:rsidR="007F79E1">
        <w:t>that</w:t>
      </w:r>
      <w:r w:rsidR="00C26D9C">
        <w:t xml:space="preserve"> whilst</w:t>
      </w:r>
      <w:r w:rsidR="007F79E1">
        <w:t xml:space="preserve"> </w:t>
      </w:r>
      <w:r w:rsidR="009D5C97">
        <w:t>the additional s31 and TIG (total income compensation</w:t>
      </w:r>
      <w:r w:rsidR="00FF17E3">
        <w:t>)</w:t>
      </w:r>
      <w:r w:rsidR="009D5C97">
        <w:t xml:space="preserve"> grants</w:t>
      </w:r>
      <w:r w:rsidR="004E1BCB">
        <w:t xml:space="preserve"> received </w:t>
      </w:r>
      <w:r w:rsidR="006351AE">
        <w:t>covered almost all losses in 2020</w:t>
      </w:r>
      <w:r w:rsidR="000136A0">
        <w:t xml:space="preserve">/21, they </w:t>
      </w:r>
      <w:r w:rsidR="00F7588E">
        <w:t>were</w:t>
      </w:r>
      <w:r w:rsidR="000136A0">
        <w:t xml:space="preserve"> however </w:t>
      </w:r>
      <w:r w:rsidR="00F7588E">
        <w:t>in</w:t>
      </w:r>
      <w:r w:rsidR="000136A0">
        <w:t xml:space="preserve">sufficient </w:t>
      </w:r>
      <w:r w:rsidR="00FF17E3">
        <w:t xml:space="preserve">to cover </w:t>
      </w:r>
      <w:r w:rsidR="00C54A34">
        <w:t xml:space="preserve">all </w:t>
      </w:r>
      <w:proofErr w:type="spellStart"/>
      <w:r w:rsidR="00FF17E3">
        <w:t>Covid</w:t>
      </w:r>
      <w:proofErr w:type="spellEnd"/>
      <w:r w:rsidR="00337A40">
        <w:t xml:space="preserve"> related NDR &amp; </w:t>
      </w:r>
      <w:proofErr w:type="spellStart"/>
      <w:r w:rsidR="00337A40">
        <w:t>Ctax</w:t>
      </w:r>
      <w:proofErr w:type="spellEnd"/>
      <w:r w:rsidR="00337A40">
        <w:t xml:space="preserve"> losses</w:t>
      </w:r>
      <w:r w:rsidR="00D44D61">
        <w:t xml:space="preserve"> in </w:t>
      </w:r>
      <w:r w:rsidR="00C26D9C">
        <w:t>2021/22.</w:t>
      </w:r>
      <w:r w:rsidR="00442A52">
        <w:t xml:space="preserve"> </w:t>
      </w:r>
    </w:p>
    <w:p w14:paraId="32F12308" w14:textId="67D9C8FD" w:rsidR="00FA247E" w:rsidRDefault="00FA247E" w:rsidP="00FA247E">
      <w:pPr>
        <w:tabs>
          <w:tab w:val="num" w:pos="709"/>
        </w:tabs>
        <w:jc w:val="both"/>
      </w:pPr>
    </w:p>
    <w:p w14:paraId="29007F02" w14:textId="1639DA77" w:rsidR="00FA247E" w:rsidRDefault="00FA247E" w:rsidP="00FA247E">
      <w:pPr>
        <w:tabs>
          <w:tab w:val="num" w:pos="709"/>
        </w:tabs>
        <w:jc w:val="both"/>
      </w:pPr>
      <w:r>
        <w:tab/>
      </w:r>
    </w:p>
    <w:p w14:paraId="1B7F6DEB" w14:textId="77777777" w:rsidR="00DC7FD5" w:rsidRPr="00B602E0" w:rsidRDefault="00DC7FD5" w:rsidP="00DC7FD5">
      <w:pPr>
        <w:jc w:val="both"/>
      </w:pPr>
    </w:p>
    <w:p w14:paraId="02A885CD" w14:textId="77777777" w:rsidR="00DC7FD5" w:rsidRPr="002D0E5E" w:rsidRDefault="00DC7FD5" w:rsidP="00DC7FD5">
      <w:pPr>
        <w:keepNext/>
        <w:jc w:val="both"/>
        <w:outlineLvl w:val="1"/>
        <w:rPr>
          <w:rFonts w:cs="Arial"/>
          <w:b/>
          <w:bCs/>
          <w:color w:val="FF0000"/>
          <w:szCs w:val="24"/>
        </w:rPr>
      </w:pPr>
      <w:r w:rsidRPr="002D0E5E">
        <w:rPr>
          <w:rFonts w:cs="Arial"/>
          <w:b/>
          <w:bCs/>
          <w:szCs w:val="24"/>
        </w:rPr>
        <w:t>Equalities implications / Public Sector Equality Duty</w:t>
      </w:r>
    </w:p>
    <w:p w14:paraId="1621AA25" w14:textId="77777777" w:rsidR="00DC7FD5" w:rsidRDefault="00DC7FD5" w:rsidP="002D0E5E">
      <w:pPr>
        <w:numPr>
          <w:ilvl w:val="0"/>
          <w:numId w:val="5"/>
        </w:numPr>
        <w:tabs>
          <w:tab w:val="num" w:pos="709"/>
        </w:tabs>
        <w:autoSpaceDE w:val="0"/>
        <w:autoSpaceDN w:val="0"/>
        <w:adjustRightInd w:val="0"/>
        <w:ind w:left="709" w:hanging="709"/>
        <w:jc w:val="both"/>
        <w:rPr>
          <w:rFonts w:cs="Arial"/>
          <w:color w:val="000000"/>
          <w:szCs w:val="24"/>
          <w:lang w:eastAsia="en-GB"/>
        </w:rPr>
      </w:pPr>
      <w:r w:rsidRPr="00B602E0">
        <w:rPr>
          <w:rFonts w:cs="Arial"/>
          <w:color w:val="000000"/>
          <w:szCs w:val="24"/>
          <w:lang w:eastAsia="en-GB"/>
        </w:rPr>
        <w:t xml:space="preserve">There are no direct equalities impacts arising from the decisions within this </w:t>
      </w:r>
    </w:p>
    <w:p w14:paraId="2489086A" w14:textId="77777777" w:rsidR="00DC7FD5" w:rsidRPr="00B602E0" w:rsidRDefault="00DC7FD5" w:rsidP="00DC7FD5">
      <w:pPr>
        <w:tabs>
          <w:tab w:val="num" w:pos="426"/>
        </w:tabs>
        <w:autoSpaceDE w:val="0"/>
        <w:autoSpaceDN w:val="0"/>
        <w:adjustRightInd w:val="0"/>
        <w:jc w:val="both"/>
        <w:rPr>
          <w:rFonts w:cs="Arial"/>
          <w:color w:val="000000"/>
          <w:szCs w:val="24"/>
          <w:lang w:eastAsia="en-GB"/>
        </w:rPr>
      </w:pPr>
      <w:r>
        <w:rPr>
          <w:rFonts w:cs="Arial"/>
          <w:color w:val="000000"/>
          <w:szCs w:val="24"/>
          <w:lang w:eastAsia="en-GB"/>
        </w:rPr>
        <w:tab/>
      </w:r>
      <w:r w:rsidRPr="00B602E0">
        <w:rPr>
          <w:rFonts w:cs="Arial"/>
          <w:color w:val="000000"/>
          <w:szCs w:val="24"/>
          <w:lang w:eastAsia="en-GB"/>
        </w:rPr>
        <w:t xml:space="preserve">report. </w:t>
      </w:r>
    </w:p>
    <w:p w14:paraId="3814931D" w14:textId="77777777" w:rsidR="00DC7FD5" w:rsidRPr="00B602E0" w:rsidRDefault="00DC7FD5" w:rsidP="00DC7FD5">
      <w:pPr>
        <w:autoSpaceDE w:val="0"/>
        <w:autoSpaceDN w:val="0"/>
        <w:adjustRightInd w:val="0"/>
        <w:ind w:left="360"/>
        <w:jc w:val="both"/>
        <w:rPr>
          <w:rFonts w:cs="Arial"/>
          <w:color w:val="000000"/>
          <w:szCs w:val="24"/>
          <w:lang w:eastAsia="en-GB"/>
        </w:rPr>
      </w:pPr>
    </w:p>
    <w:p w14:paraId="085C99C1" w14:textId="77777777" w:rsidR="00DC7FD5" w:rsidRPr="002D0E5E" w:rsidRDefault="00DC7FD5" w:rsidP="00DC7FD5">
      <w:pPr>
        <w:jc w:val="both"/>
        <w:rPr>
          <w:b/>
          <w:szCs w:val="24"/>
        </w:rPr>
      </w:pPr>
      <w:r w:rsidRPr="002D0E5E">
        <w:rPr>
          <w:b/>
          <w:szCs w:val="24"/>
        </w:rPr>
        <w:t>Council Priorities</w:t>
      </w:r>
    </w:p>
    <w:p w14:paraId="638328E6" w14:textId="77777777" w:rsidR="00DC7FD5" w:rsidRPr="00B602E0" w:rsidRDefault="00DC7FD5" w:rsidP="002D0E5E">
      <w:pPr>
        <w:numPr>
          <w:ilvl w:val="0"/>
          <w:numId w:val="5"/>
        </w:numPr>
        <w:tabs>
          <w:tab w:val="clear" w:pos="360"/>
          <w:tab w:val="num" w:pos="142"/>
          <w:tab w:val="num" w:pos="426"/>
          <w:tab w:val="num" w:pos="720"/>
        </w:tabs>
        <w:autoSpaceDE w:val="0"/>
        <w:autoSpaceDN w:val="0"/>
        <w:adjustRightInd w:val="0"/>
        <w:ind w:left="426" w:hanging="426"/>
        <w:jc w:val="both"/>
        <w:rPr>
          <w:rFonts w:cs="Arial"/>
          <w:color w:val="000000"/>
          <w:szCs w:val="24"/>
          <w:lang w:eastAsia="en-GB"/>
        </w:rPr>
      </w:pPr>
      <w:r w:rsidRPr="00B602E0">
        <w:rPr>
          <w:rFonts w:cs="Arial"/>
          <w:color w:val="000000"/>
          <w:szCs w:val="24"/>
          <w:lang w:eastAsia="en-GB"/>
        </w:rPr>
        <w:t>This report deals with the Collection Fund wh</w:t>
      </w:r>
      <w:r>
        <w:rPr>
          <w:rFonts w:cs="Arial"/>
          <w:color w:val="000000"/>
          <w:szCs w:val="24"/>
          <w:lang w:eastAsia="en-GB"/>
        </w:rPr>
        <w:t xml:space="preserve">ich is a key part of the budget </w:t>
      </w:r>
      <w:r w:rsidRPr="00B602E0">
        <w:rPr>
          <w:rFonts w:cs="Arial"/>
          <w:color w:val="000000"/>
          <w:szCs w:val="24"/>
          <w:lang w:eastAsia="en-GB"/>
        </w:rPr>
        <w:t>setting process and therefore helps deliver the Council’s vision and priorities.</w:t>
      </w:r>
    </w:p>
    <w:p w14:paraId="39C4EAB4" w14:textId="77777777" w:rsidR="00DC7FD5" w:rsidRDefault="00DC7FD5" w:rsidP="001C7E35"/>
    <w:p w14:paraId="526CCB7D" w14:textId="762F0968" w:rsidR="007D2000" w:rsidRDefault="00333FAA" w:rsidP="002D0E5E">
      <w:pPr>
        <w:pStyle w:val="Heading1"/>
        <w:keepNext/>
      </w:pPr>
      <w:r>
        <w:lastRenderedPageBreak/>
        <w:t>Section 3 - Statutory Officer Clearance</w:t>
      </w:r>
    </w:p>
    <w:p w14:paraId="0588BFDD" w14:textId="6A35361B" w:rsidR="004B6007" w:rsidRDefault="004B6007" w:rsidP="004B6007"/>
    <w:p w14:paraId="175417B2" w14:textId="08F10981" w:rsidR="004B6007" w:rsidRPr="00A66326" w:rsidRDefault="004B6007" w:rsidP="004B6007">
      <w:pPr>
        <w:rPr>
          <w:sz w:val="28"/>
        </w:rPr>
      </w:pPr>
      <w:r w:rsidRPr="00A66326">
        <w:rPr>
          <w:b/>
          <w:sz w:val="28"/>
        </w:rPr>
        <w:t xml:space="preserve">Statutory Officer:  </w:t>
      </w:r>
      <w:r w:rsidR="001C5B10">
        <w:rPr>
          <w:b/>
          <w:sz w:val="28"/>
        </w:rPr>
        <w:t>Dawn Calvert</w:t>
      </w:r>
    </w:p>
    <w:p w14:paraId="101DB8BF" w14:textId="4289FDF9" w:rsidR="004B6007" w:rsidRPr="00A66326" w:rsidRDefault="004B6007" w:rsidP="004B6007">
      <w:r w:rsidRPr="00A66326">
        <w:t xml:space="preserve">Signed </w:t>
      </w:r>
      <w:r w:rsidR="001C5B10">
        <w:t xml:space="preserve">off by </w:t>
      </w:r>
      <w:r w:rsidRPr="00A66326">
        <w:t>the Chief Financial Officer</w:t>
      </w:r>
    </w:p>
    <w:p w14:paraId="6617FCD0" w14:textId="2C752D03" w:rsidR="004B6007" w:rsidRPr="00A66326" w:rsidRDefault="004B6007" w:rsidP="004B6007">
      <w:pPr>
        <w:spacing w:after="480"/>
        <w:rPr>
          <w:sz w:val="28"/>
        </w:rPr>
      </w:pPr>
      <w:r w:rsidRPr="00B679E6">
        <w:rPr>
          <w:b/>
          <w:sz w:val="28"/>
        </w:rPr>
        <w:t>Date:</w:t>
      </w:r>
      <w:r w:rsidRPr="00A66326">
        <w:rPr>
          <w:b/>
          <w:sz w:val="28"/>
        </w:rPr>
        <w:t xml:space="preserve">  </w:t>
      </w:r>
      <w:r w:rsidR="001C5B10">
        <w:rPr>
          <w:b/>
          <w:sz w:val="28"/>
        </w:rPr>
        <w:t>26 Nov</w:t>
      </w:r>
      <w:r w:rsidR="00B679E6" w:rsidRPr="004B6007">
        <w:rPr>
          <w:b/>
          <w:sz w:val="28"/>
        </w:rPr>
        <w:t>ember 2021</w:t>
      </w:r>
    </w:p>
    <w:p w14:paraId="414AA748" w14:textId="25B9E644" w:rsidR="004B6007" w:rsidRPr="00A66326" w:rsidRDefault="004B6007" w:rsidP="004B6007">
      <w:pPr>
        <w:rPr>
          <w:sz w:val="28"/>
        </w:rPr>
      </w:pPr>
      <w:r w:rsidRPr="00A66326">
        <w:rPr>
          <w:b/>
          <w:sz w:val="28"/>
        </w:rPr>
        <w:t xml:space="preserve">Statutory Officer:  </w:t>
      </w:r>
      <w:r w:rsidR="00702797">
        <w:rPr>
          <w:b/>
          <w:sz w:val="28"/>
        </w:rPr>
        <w:t>Paresh Mehta</w:t>
      </w:r>
    </w:p>
    <w:p w14:paraId="68004853" w14:textId="31413705" w:rsidR="004B6007" w:rsidRPr="00A66326" w:rsidRDefault="004B6007" w:rsidP="004B6007">
      <w:r w:rsidRPr="00A66326">
        <w:t>Signed on behalf of</w:t>
      </w:r>
      <w:r>
        <w:t xml:space="preserve"> </w:t>
      </w:r>
      <w:r w:rsidRPr="00A66326">
        <w:t>the Monitoring Officer</w:t>
      </w:r>
    </w:p>
    <w:p w14:paraId="068B1C8A" w14:textId="5E0C99AA" w:rsidR="004B6007" w:rsidRPr="003313EA" w:rsidRDefault="004B6007" w:rsidP="004B6007">
      <w:pPr>
        <w:spacing w:after="480"/>
        <w:rPr>
          <w:sz w:val="28"/>
        </w:rPr>
      </w:pPr>
      <w:r w:rsidRPr="00A66326">
        <w:rPr>
          <w:b/>
          <w:sz w:val="28"/>
        </w:rPr>
        <w:t xml:space="preserve">Date:  </w:t>
      </w:r>
      <w:r w:rsidR="00961802">
        <w:rPr>
          <w:b/>
          <w:sz w:val="28"/>
        </w:rPr>
        <w:t>29 Nov</w:t>
      </w:r>
      <w:r w:rsidR="00B679E6">
        <w:rPr>
          <w:b/>
          <w:sz w:val="28"/>
        </w:rPr>
        <w:t>ember</w:t>
      </w:r>
      <w:r>
        <w:rPr>
          <w:b/>
          <w:sz w:val="28"/>
        </w:rPr>
        <w:t xml:space="preserve"> 2021</w:t>
      </w:r>
    </w:p>
    <w:p w14:paraId="21D2860B" w14:textId="340D1999" w:rsidR="004B6007" w:rsidRPr="004B6007" w:rsidRDefault="004B6007" w:rsidP="004B6007">
      <w:pPr>
        <w:rPr>
          <w:sz w:val="28"/>
        </w:rPr>
      </w:pPr>
      <w:r w:rsidRPr="004B6007">
        <w:rPr>
          <w:b/>
          <w:sz w:val="28"/>
        </w:rPr>
        <w:t>Chief Officer:  Charlie Stewart</w:t>
      </w:r>
    </w:p>
    <w:p w14:paraId="246D1868" w14:textId="77777777" w:rsidR="004B6007" w:rsidRPr="004B6007" w:rsidRDefault="004B6007" w:rsidP="004B6007">
      <w:r w:rsidRPr="004B6007">
        <w:t>Signed off by the Corporate Director</w:t>
      </w:r>
    </w:p>
    <w:p w14:paraId="783EB6C9" w14:textId="7B9B6347" w:rsidR="004B6007" w:rsidRPr="00A66326" w:rsidRDefault="004B6007" w:rsidP="004B6007">
      <w:pPr>
        <w:spacing w:after="480"/>
        <w:rPr>
          <w:sz w:val="28"/>
        </w:rPr>
      </w:pPr>
      <w:r w:rsidRPr="00B679E6">
        <w:rPr>
          <w:b/>
          <w:sz w:val="28"/>
        </w:rPr>
        <w:t>Date:</w:t>
      </w:r>
      <w:r w:rsidRPr="00A66326">
        <w:rPr>
          <w:b/>
          <w:sz w:val="28"/>
        </w:rPr>
        <w:t xml:space="preserve">  </w:t>
      </w:r>
      <w:r w:rsidR="00961802">
        <w:rPr>
          <w:b/>
          <w:sz w:val="28"/>
        </w:rPr>
        <w:t>26 Nov</w:t>
      </w:r>
      <w:r w:rsidR="00B679E6" w:rsidRPr="004B6007">
        <w:rPr>
          <w:b/>
          <w:sz w:val="28"/>
        </w:rPr>
        <w:t>ember 2021</w:t>
      </w:r>
    </w:p>
    <w:p w14:paraId="18F738E1" w14:textId="09F840B1" w:rsidR="004B6007" w:rsidRPr="00A66326" w:rsidRDefault="004B6007" w:rsidP="004B6007">
      <w:pPr>
        <w:rPr>
          <w:sz w:val="28"/>
        </w:rPr>
      </w:pPr>
      <w:r>
        <w:rPr>
          <w:b/>
          <w:sz w:val="28"/>
        </w:rPr>
        <w:t>Head of Procurement</w:t>
      </w:r>
      <w:r w:rsidRPr="00A66326">
        <w:rPr>
          <w:b/>
          <w:sz w:val="28"/>
        </w:rPr>
        <w:t xml:space="preserve">:  </w:t>
      </w:r>
      <w:r>
        <w:rPr>
          <w:b/>
          <w:sz w:val="28"/>
        </w:rPr>
        <w:t>Nimesh Mehta</w:t>
      </w:r>
    </w:p>
    <w:p w14:paraId="5F4DCCF4" w14:textId="0249003A" w:rsidR="004B6007" w:rsidRPr="00A66326" w:rsidRDefault="004B6007" w:rsidP="004B6007">
      <w:r w:rsidRPr="00A66326">
        <w:t xml:space="preserve">Signed by the </w:t>
      </w:r>
      <w:r>
        <w:t>Head of Procurement</w:t>
      </w:r>
    </w:p>
    <w:p w14:paraId="1A4ABE09" w14:textId="2F00A605" w:rsidR="004B6007" w:rsidRPr="003313EA" w:rsidRDefault="004B6007" w:rsidP="004B6007">
      <w:pPr>
        <w:spacing w:after="480"/>
        <w:rPr>
          <w:sz w:val="28"/>
        </w:rPr>
      </w:pPr>
      <w:r w:rsidRPr="00B679E6">
        <w:rPr>
          <w:b/>
          <w:sz w:val="28"/>
        </w:rPr>
        <w:t>Date:</w:t>
      </w:r>
      <w:r w:rsidRPr="00A66326">
        <w:rPr>
          <w:b/>
          <w:sz w:val="28"/>
        </w:rPr>
        <w:t xml:space="preserve">  </w:t>
      </w:r>
      <w:r w:rsidR="00961802">
        <w:rPr>
          <w:b/>
          <w:sz w:val="28"/>
        </w:rPr>
        <w:t>29 Nov</w:t>
      </w:r>
      <w:r w:rsidR="00B679E6" w:rsidRPr="004B6007">
        <w:rPr>
          <w:b/>
          <w:sz w:val="28"/>
        </w:rPr>
        <w:t>ember 2021</w:t>
      </w:r>
    </w:p>
    <w:p w14:paraId="40692D92" w14:textId="4483FFB3" w:rsidR="004B6007" w:rsidRPr="00A66326" w:rsidRDefault="004B6007" w:rsidP="004B6007">
      <w:pPr>
        <w:rPr>
          <w:sz w:val="28"/>
        </w:rPr>
      </w:pPr>
      <w:r>
        <w:rPr>
          <w:b/>
          <w:sz w:val="28"/>
        </w:rPr>
        <w:t>Head of Internal Audit</w:t>
      </w:r>
      <w:r w:rsidRPr="00A66326">
        <w:rPr>
          <w:b/>
          <w:sz w:val="28"/>
        </w:rPr>
        <w:t xml:space="preserve">:  </w:t>
      </w:r>
      <w:r>
        <w:rPr>
          <w:b/>
          <w:sz w:val="28"/>
        </w:rPr>
        <w:t>Susan Dixson</w:t>
      </w:r>
    </w:p>
    <w:p w14:paraId="1E060CC3" w14:textId="35EECA94" w:rsidR="004B6007" w:rsidRPr="00A66326" w:rsidRDefault="004B6007" w:rsidP="004B6007">
      <w:r w:rsidRPr="00A66326">
        <w:t xml:space="preserve">Signed by the </w:t>
      </w:r>
      <w:r>
        <w:t>Head of Internal Audit</w:t>
      </w:r>
    </w:p>
    <w:p w14:paraId="1669AC30" w14:textId="1FB47BBB" w:rsidR="004B6007" w:rsidRDefault="004B6007" w:rsidP="004B6007">
      <w:pPr>
        <w:rPr>
          <w:b/>
          <w:sz w:val="28"/>
        </w:rPr>
      </w:pPr>
      <w:r w:rsidRPr="004B6007">
        <w:rPr>
          <w:b/>
          <w:sz w:val="28"/>
        </w:rPr>
        <w:t xml:space="preserve">Date: </w:t>
      </w:r>
      <w:r w:rsidR="00961802">
        <w:rPr>
          <w:b/>
          <w:sz w:val="28"/>
        </w:rPr>
        <w:t>29 Nov</w:t>
      </w:r>
      <w:r w:rsidR="00F20291">
        <w:rPr>
          <w:b/>
          <w:sz w:val="28"/>
        </w:rPr>
        <w:t>e</w:t>
      </w:r>
      <w:r w:rsidRPr="004B6007">
        <w:rPr>
          <w:b/>
          <w:sz w:val="28"/>
        </w:rPr>
        <w:t>mber 2021</w:t>
      </w:r>
    </w:p>
    <w:p w14:paraId="006435A1" w14:textId="77777777" w:rsidR="004B6007" w:rsidRPr="00435B5D" w:rsidRDefault="004B6007" w:rsidP="004B6007">
      <w:pPr>
        <w:pStyle w:val="Heading2"/>
        <w:spacing w:before="480" w:after="240"/>
      </w:pPr>
      <w:r>
        <w:t>Mandatory Checks</w:t>
      </w:r>
    </w:p>
    <w:p w14:paraId="1F69FFC3" w14:textId="4800DFFA" w:rsidR="004B6007" w:rsidRPr="00A406F3" w:rsidRDefault="004B6007" w:rsidP="004B6007">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610B5D22" w14:textId="01B6768C" w:rsidR="004B6007" w:rsidRPr="00202D79" w:rsidRDefault="004B6007" w:rsidP="004B6007">
      <w:pPr>
        <w:pStyle w:val="Heading3"/>
        <w:spacing w:before="240"/>
        <w:rPr>
          <w:b w:val="0"/>
        </w:rPr>
      </w:pPr>
      <w:proofErr w:type="spellStart"/>
      <w:r w:rsidRPr="00202D79">
        <w:t>EqIA</w:t>
      </w:r>
      <w:proofErr w:type="spellEnd"/>
      <w:r w:rsidRPr="00202D79">
        <w:t xml:space="preserve"> carried out:</w:t>
      </w:r>
      <w:r>
        <w:t xml:space="preserve">  </w:t>
      </w:r>
      <w:r w:rsidRPr="00202D79">
        <w:t>NO</w:t>
      </w:r>
    </w:p>
    <w:p w14:paraId="65CC6585" w14:textId="77777777" w:rsidR="00B679E6" w:rsidRPr="00B679E6" w:rsidRDefault="00B679E6" w:rsidP="004B6007">
      <w:pPr>
        <w:pStyle w:val="Infotext"/>
      </w:pPr>
      <w:r w:rsidRPr="00B679E6">
        <w:t xml:space="preserve">This is a technical financial report which does not require an </w:t>
      </w:r>
      <w:proofErr w:type="spellStart"/>
      <w:r w:rsidRPr="00B679E6">
        <w:t>EqIA</w:t>
      </w:r>
      <w:proofErr w:type="spellEnd"/>
      <w:r w:rsidRPr="00B679E6">
        <w:t>.</w:t>
      </w:r>
    </w:p>
    <w:p w14:paraId="047B10E7" w14:textId="77777777" w:rsidR="00B679E6" w:rsidRDefault="00B679E6" w:rsidP="004B6007">
      <w:pPr>
        <w:pStyle w:val="Infotext"/>
        <w:rPr>
          <w:highlight w:val="yellow"/>
        </w:rPr>
      </w:pPr>
    </w:p>
    <w:p w14:paraId="4108F215" w14:textId="28DB9C47" w:rsidR="004B6007" w:rsidRPr="00303FD6" w:rsidRDefault="004B6007" w:rsidP="004B6007">
      <w:pPr>
        <w:pStyle w:val="Heading3"/>
        <w:spacing w:before="240"/>
        <w:jc w:val="left"/>
        <w:rPr>
          <w:color w:val="FF0000"/>
        </w:rPr>
      </w:pPr>
      <w:proofErr w:type="spellStart"/>
      <w:r w:rsidRPr="00202D79">
        <w:t>EqIA</w:t>
      </w:r>
      <w:proofErr w:type="spellEnd"/>
      <w:r w:rsidRPr="00202D79">
        <w:t xml:space="preserve"> cleared by:</w:t>
      </w:r>
      <w:r>
        <w:t xml:space="preserve">  N/A</w:t>
      </w:r>
    </w:p>
    <w:p w14:paraId="56FE99EE" w14:textId="77777777" w:rsidR="004B6007" w:rsidRPr="004B6007" w:rsidRDefault="004B6007" w:rsidP="004B6007">
      <w:pPr>
        <w:rPr>
          <w:b/>
          <w:sz w:val="28"/>
        </w:rPr>
      </w:pPr>
    </w:p>
    <w:p w14:paraId="783DF618" w14:textId="77777777" w:rsidR="002548D1" w:rsidRDefault="002548D1" w:rsidP="00333FAA"/>
    <w:p w14:paraId="7C16FDA9" w14:textId="77777777" w:rsidR="00333FAA" w:rsidRDefault="00333FAA" w:rsidP="00333FAA">
      <w:pPr>
        <w:pStyle w:val="Heading1"/>
        <w:keepNext/>
      </w:pPr>
      <w:r>
        <w:t xml:space="preserve">Section </w:t>
      </w:r>
      <w:r w:rsidR="00A20113">
        <w:t>4</w:t>
      </w:r>
      <w:r>
        <w:t xml:space="preserve"> - Contact Details and Background Papers</w:t>
      </w:r>
    </w:p>
    <w:p w14:paraId="190E41D8" w14:textId="77777777" w:rsidR="00333FAA" w:rsidRDefault="00333FAA" w:rsidP="00333FAA">
      <w:pPr>
        <w:keepNext/>
        <w:rPr>
          <w:rFonts w:cs="Arial"/>
        </w:rPr>
      </w:pPr>
    </w:p>
    <w:p w14:paraId="5300C246" w14:textId="77777777" w:rsidR="002D0E5E" w:rsidRPr="002D0E5E" w:rsidRDefault="002D0E5E" w:rsidP="002D0E5E">
      <w:pPr>
        <w:tabs>
          <w:tab w:val="left" w:pos="1418"/>
          <w:tab w:val="left" w:pos="1560"/>
          <w:tab w:val="left" w:pos="7106"/>
          <w:tab w:val="left" w:pos="8976"/>
        </w:tabs>
        <w:ind w:right="257"/>
        <w:rPr>
          <w:b/>
          <w:sz w:val="28"/>
        </w:rPr>
      </w:pPr>
      <w:r w:rsidRPr="002D0E5E">
        <w:rPr>
          <w:b/>
          <w:sz w:val="28"/>
        </w:rPr>
        <w:t xml:space="preserve">Contact:  </w:t>
      </w:r>
    </w:p>
    <w:p w14:paraId="660B4AAC" w14:textId="77777777" w:rsidR="002D0E5E" w:rsidRPr="002D0E5E" w:rsidRDefault="002D0E5E" w:rsidP="002D0E5E">
      <w:pPr>
        <w:keepNext/>
        <w:ind w:left="851"/>
        <w:rPr>
          <w:rFonts w:cs="Arial"/>
        </w:rPr>
      </w:pPr>
      <w:r w:rsidRPr="002D0E5E">
        <w:rPr>
          <w:rFonts w:cs="Arial"/>
        </w:rPr>
        <w:t>Fern Silverio (Head of Service – Collections &amp; Housing Benefits),</w:t>
      </w:r>
    </w:p>
    <w:p w14:paraId="5A3C8AA4" w14:textId="77777777" w:rsidR="002D0E5E" w:rsidRPr="002D0E5E" w:rsidRDefault="002D0E5E" w:rsidP="002D0E5E">
      <w:pPr>
        <w:keepNext/>
        <w:ind w:left="131" w:firstLine="720"/>
        <w:rPr>
          <w:rFonts w:cs="Arial"/>
        </w:rPr>
      </w:pPr>
      <w:r w:rsidRPr="002D0E5E">
        <w:rPr>
          <w:rFonts w:cs="Arial"/>
        </w:rPr>
        <w:t xml:space="preserve">Tel: 020-8736-6818 / email: </w:t>
      </w:r>
      <w:hyperlink r:id="rId13" w:history="1">
        <w:r w:rsidRPr="002D0E5E">
          <w:rPr>
            <w:rFonts w:cs="Arial"/>
            <w:color w:val="0000FF"/>
            <w:u w:val="single"/>
          </w:rPr>
          <w:t>fern.silverio@harrow.gov.uk</w:t>
        </w:r>
      </w:hyperlink>
    </w:p>
    <w:p w14:paraId="5F9F8D78" w14:textId="77777777" w:rsidR="002D0E5E" w:rsidRDefault="002D0E5E" w:rsidP="00333FAA">
      <w:pPr>
        <w:pStyle w:val="Infotext"/>
        <w:rPr>
          <w:b/>
        </w:rPr>
      </w:pPr>
    </w:p>
    <w:p w14:paraId="070310E9" w14:textId="77777777" w:rsidR="002D0E5E" w:rsidRPr="002D0E5E" w:rsidRDefault="002D0E5E" w:rsidP="002D0E5E">
      <w:pPr>
        <w:rPr>
          <w:color w:val="FF0000"/>
          <w:sz w:val="28"/>
        </w:rPr>
      </w:pPr>
      <w:r w:rsidRPr="002D0E5E">
        <w:rPr>
          <w:b/>
          <w:sz w:val="28"/>
        </w:rPr>
        <w:t xml:space="preserve">Background Papers:  </w:t>
      </w:r>
    </w:p>
    <w:p w14:paraId="1BAC65BB" w14:textId="7EE96136" w:rsidR="002D0E5E" w:rsidRPr="002D0E5E" w:rsidRDefault="002D0E5E" w:rsidP="002D0E5E">
      <w:pPr>
        <w:numPr>
          <w:ilvl w:val="0"/>
          <w:numId w:val="6"/>
        </w:numPr>
        <w:tabs>
          <w:tab w:val="left" w:pos="8976"/>
        </w:tabs>
        <w:ind w:right="257"/>
        <w:rPr>
          <w:rFonts w:cs="Arial"/>
          <w:szCs w:val="24"/>
        </w:rPr>
      </w:pPr>
      <w:r w:rsidRPr="002D0E5E">
        <w:rPr>
          <w:rFonts w:cs="Arial"/>
          <w:szCs w:val="24"/>
        </w:rPr>
        <w:t xml:space="preserve">The Local Authorities (Funds) (England) Regulations 1992 </w:t>
      </w:r>
      <w:hyperlink r:id="rId14" w:history="1">
        <w:r w:rsidR="004B6007" w:rsidRPr="00416A2A">
          <w:rPr>
            <w:rStyle w:val="Hyperlink"/>
            <w:rFonts w:cs="Arial"/>
            <w:szCs w:val="24"/>
          </w:rPr>
          <w:t>http://www.legislation.gov.uk/ukpga/1992/14/contents</w:t>
        </w:r>
      </w:hyperlink>
      <w:r w:rsidR="004B6007">
        <w:rPr>
          <w:rFonts w:cs="Arial"/>
          <w:szCs w:val="24"/>
        </w:rPr>
        <w:t xml:space="preserve"> </w:t>
      </w:r>
    </w:p>
    <w:p w14:paraId="3FC77B6B" w14:textId="5A434263" w:rsidR="002D0E5E" w:rsidRPr="00B679E6" w:rsidRDefault="002D0E5E" w:rsidP="002D0E5E">
      <w:pPr>
        <w:numPr>
          <w:ilvl w:val="0"/>
          <w:numId w:val="6"/>
        </w:numPr>
        <w:tabs>
          <w:tab w:val="left" w:pos="8976"/>
        </w:tabs>
        <w:ind w:right="257"/>
        <w:rPr>
          <w:rFonts w:cs="Arial"/>
          <w:szCs w:val="24"/>
        </w:rPr>
      </w:pPr>
      <w:r w:rsidRPr="002D0E5E">
        <w:rPr>
          <w:rFonts w:cs="Arial"/>
          <w:szCs w:val="24"/>
        </w:rPr>
        <w:lastRenderedPageBreak/>
        <w:t xml:space="preserve">The Non-Domestic Rating (Rates Retention) Regulations 2013 </w:t>
      </w:r>
      <w:hyperlink r:id="rId15" w:history="1">
        <w:r w:rsidRPr="002D0E5E">
          <w:rPr>
            <w:rFonts w:cs="Arial"/>
            <w:color w:val="0000FF"/>
            <w:szCs w:val="24"/>
            <w:u w:val="single"/>
          </w:rPr>
          <w:t>http://www.legislation.gov.uk/ukdsi/2013/9780111532959/contents</w:t>
        </w:r>
      </w:hyperlink>
    </w:p>
    <w:p w14:paraId="6156ADD9" w14:textId="55584E86" w:rsidR="004B6007" w:rsidRDefault="004B6007" w:rsidP="004B6007">
      <w:pPr>
        <w:tabs>
          <w:tab w:val="left" w:pos="8976"/>
        </w:tabs>
        <w:ind w:right="257"/>
        <w:rPr>
          <w:rFonts w:cs="Arial"/>
          <w:color w:val="0000FF"/>
          <w:szCs w:val="24"/>
          <w:u w:val="single"/>
        </w:rPr>
      </w:pPr>
    </w:p>
    <w:p w14:paraId="37C94BB6" w14:textId="6DA785B3" w:rsidR="004B6007" w:rsidRDefault="004B6007" w:rsidP="004B6007">
      <w:pPr>
        <w:tabs>
          <w:tab w:val="left" w:pos="8976"/>
        </w:tabs>
        <w:ind w:right="257"/>
        <w:rPr>
          <w:rFonts w:cs="Arial"/>
          <w:szCs w:val="24"/>
        </w:rPr>
      </w:pPr>
    </w:p>
    <w:p w14:paraId="6307D836" w14:textId="77777777" w:rsidR="004B6007" w:rsidRPr="007C0DC3" w:rsidRDefault="004B6007" w:rsidP="004B600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3EFE6FAD" w14:textId="0022180B" w:rsidR="004B6007" w:rsidRPr="003D78F6" w:rsidRDefault="004B6007" w:rsidP="004B6007">
      <w:pPr>
        <w:pStyle w:val="Infotext"/>
        <w:rPr>
          <w:i/>
          <w:sz w:val="24"/>
          <w:szCs w:val="24"/>
        </w:rPr>
      </w:pPr>
    </w:p>
    <w:p w14:paraId="420F1471" w14:textId="1003D447" w:rsidR="004B6007" w:rsidRDefault="004B6007" w:rsidP="004B6007">
      <w:pPr>
        <w:pStyle w:val="Infotext"/>
        <w:spacing w:before="240"/>
      </w:pPr>
      <w:r w:rsidRPr="003D78F6">
        <w:rPr>
          <w:b/>
        </w:rPr>
        <w:t xml:space="preserve">NO </w:t>
      </w:r>
    </w:p>
    <w:p w14:paraId="4EC12727" w14:textId="77777777" w:rsidR="004B6007" w:rsidRPr="002D0E5E" w:rsidRDefault="004B6007" w:rsidP="00B679E6">
      <w:pPr>
        <w:tabs>
          <w:tab w:val="left" w:pos="8976"/>
        </w:tabs>
        <w:ind w:right="257"/>
        <w:rPr>
          <w:rFonts w:cs="Arial"/>
          <w:szCs w:val="24"/>
        </w:rPr>
      </w:pPr>
    </w:p>
    <w:p w14:paraId="6D6A75AD" w14:textId="77777777" w:rsidR="002D0E5E" w:rsidRDefault="002D0E5E" w:rsidP="00333FAA">
      <w:pPr>
        <w:pStyle w:val="Infotext"/>
        <w:rPr>
          <w:b/>
        </w:rPr>
      </w:pPr>
    </w:p>
    <w:sectPr w:rsidR="002D0E5E" w:rsidSect="001614E0">
      <w:headerReference w:type="default" r:id="rId16"/>
      <w:headerReference w:type="first" r:id="rId17"/>
      <w:footerReference w:type="first" r:id="rId18"/>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231D0" w14:textId="77777777" w:rsidR="000B10B4" w:rsidRDefault="000B10B4">
      <w:r>
        <w:separator/>
      </w:r>
    </w:p>
  </w:endnote>
  <w:endnote w:type="continuationSeparator" w:id="0">
    <w:p w14:paraId="4B2811D0" w14:textId="77777777" w:rsidR="000B10B4" w:rsidRDefault="000B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C948E"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B74AF" w14:textId="77777777" w:rsidR="000B10B4" w:rsidRDefault="000B10B4">
      <w:r>
        <w:separator/>
      </w:r>
    </w:p>
  </w:footnote>
  <w:footnote w:type="continuationSeparator" w:id="0">
    <w:p w14:paraId="1E0E2003" w14:textId="77777777" w:rsidR="000B10B4" w:rsidRDefault="000B1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F8908"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8DB95"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2390C"/>
    <w:multiLevelType w:val="hybridMultilevel"/>
    <w:tmpl w:val="F48E7F38"/>
    <w:lvl w:ilvl="0" w:tplc="F5902A24">
      <w:start w:val="1"/>
      <w:numFmt w:val="bullet"/>
      <w:lvlText w:val=""/>
      <w:lvlJc w:val="left"/>
      <w:pPr>
        <w:tabs>
          <w:tab w:val="num" w:pos="786"/>
        </w:tabs>
        <w:ind w:left="78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794CEC"/>
    <w:multiLevelType w:val="hybridMultilevel"/>
    <w:tmpl w:val="A38A713A"/>
    <w:lvl w:ilvl="0" w:tplc="04090001">
      <w:start w:val="1"/>
      <w:numFmt w:val="bullet"/>
      <w:lvlText w:val=""/>
      <w:lvlJc w:val="left"/>
      <w:pPr>
        <w:tabs>
          <w:tab w:val="num" w:pos="1080"/>
        </w:tabs>
        <w:ind w:left="1080" w:hanging="360"/>
      </w:pPr>
      <w:rPr>
        <w:rFonts w:ascii="Symbol" w:hAnsi="Symbol" w:hint="default"/>
      </w:rPr>
    </w:lvl>
    <w:lvl w:ilvl="1" w:tplc="B7C0D3F4">
      <w:start w:val="1"/>
      <w:numFmt w:val="decimal"/>
      <w:lvlText w:val="%2."/>
      <w:lvlJc w:val="left"/>
      <w:pPr>
        <w:tabs>
          <w:tab w:val="num" w:pos="1800"/>
        </w:tabs>
        <w:ind w:left="1800" w:hanging="360"/>
      </w:pPr>
      <w:rPr>
        <w:rFonts w:cs="Times New Roman" w:hint="default"/>
        <w:b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FC538A9"/>
    <w:multiLevelType w:val="hybridMultilevel"/>
    <w:tmpl w:val="1222FE08"/>
    <w:lvl w:ilvl="0" w:tplc="422E4DDA">
      <w:start w:val="1"/>
      <w:numFmt w:val="lowerLetter"/>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AAD56E8"/>
    <w:multiLevelType w:val="multilevel"/>
    <w:tmpl w:val="8BDE7044"/>
    <w:lvl w:ilvl="0">
      <w:start w:val="4"/>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72877046"/>
    <w:multiLevelType w:val="hybridMultilevel"/>
    <w:tmpl w:val="46942B8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B5D6C23"/>
    <w:multiLevelType w:val="hybridMultilevel"/>
    <w:tmpl w:val="073A8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CD5E75"/>
    <w:multiLevelType w:val="hybridMultilevel"/>
    <w:tmpl w:val="18EEE908"/>
    <w:lvl w:ilvl="0" w:tplc="8022F576">
      <w:start w:val="1"/>
      <w:numFmt w:val="decimal"/>
      <w:lvlText w:val="%1."/>
      <w:lvlJc w:val="left"/>
      <w:pPr>
        <w:tabs>
          <w:tab w:val="num" w:pos="360"/>
        </w:tabs>
        <w:ind w:left="360" w:hanging="360"/>
      </w:pPr>
      <w:rPr>
        <w:rFonts w:cs="Times New Roman"/>
        <w:color w:val="auto"/>
      </w:rPr>
    </w:lvl>
    <w:lvl w:ilvl="1" w:tplc="08090019">
      <w:start w:val="1"/>
      <w:numFmt w:val="lowerLetter"/>
      <w:lvlText w:val="%2."/>
      <w:lvlJc w:val="left"/>
      <w:pPr>
        <w:tabs>
          <w:tab w:val="num" w:pos="1814"/>
        </w:tabs>
        <w:ind w:left="1814" w:hanging="360"/>
      </w:pPr>
      <w:rPr>
        <w:rFonts w:cs="Times New Roman"/>
      </w:rPr>
    </w:lvl>
    <w:lvl w:ilvl="2" w:tplc="0809001B" w:tentative="1">
      <w:start w:val="1"/>
      <w:numFmt w:val="lowerRoman"/>
      <w:lvlText w:val="%3."/>
      <w:lvlJc w:val="right"/>
      <w:pPr>
        <w:tabs>
          <w:tab w:val="num" w:pos="2534"/>
        </w:tabs>
        <w:ind w:left="2534" w:hanging="180"/>
      </w:pPr>
      <w:rPr>
        <w:rFonts w:cs="Times New Roman"/>
      </w:rPr>
    </w:lvl>
    <w:lvl w:ilvl="3" w:tplc="0809000F" w:tentative="1">
      <w:start w:val="1"/>
      <w:numFmt w:val="decimal"/>
      <w:lvlText w:val="%4."/>
      <w:lvlJc w:val="left"/>
      <w:pPr>
        <w:tabs>
          <w:tab w:val="num" w:pos="3254"/>
        </w:tabs>
        <w:ind w:left="3254" w:hanging="360"/>
      </w:pPr>
      <w:rPr>
        <w:rFonts w:cs="Times New Roman"/>
      </w:rPr>
    </w:lvl>
    <w:lvl w:ilvl="4" w:tplc="08090019" w:tentative="1">
      <w:start w:val="1"/>
      <w:numFmt w:val="lowerLetter"/>
      <w:lvlText w:val="%5."/>
      <w:lvlJc w:val="left"/>
      <w:pPr>
        <w:tabs>
          <w:tab w:val="num" w:pos="3974"/>
        </w:tabs>
        <w:ind w:left="3974" w:hanging="360"/>
      </w:pPr>
      <w:rPr>
        <w:rFonts w:cs="Times New Roman"/>
      </w:rPr>
    </w:lvl>
    <w:lvl w:ilvl="5" w:tplc="0809001B" w:tentative="1">
      <w:start w:val="1"/>
      <w:numFmt w:val="lowerRoman"/>
      <w:lvlText w:val="%6."/>
      <w:lvlJc w:val="right"/>
      <w:pPr>
        <w:tabs>
          <w:tab w:val="num" w:pos="4694"/>
        </w:tabs>
        <w:ind w:left="4694" w:hanging="180"/>
      </w:pPr>
      <w:rPr>
        <w:rFonts w:cs="Times New Roman"/>
      </w:rPr>
    </w:lvl>
    <w:lvl w:ilvl="6" w:tplc="0809000F" w:tentative="1">
      <w:start w:val="1"/>
      <w:numFmt w:val="decimal"/>
      <w:lvlText w:val="%7."/>
      <w:lvlJc w:val="left"/>
      <w:pPr>
        <w:tabs>
          <w:tab w:val="num" w:pos="5414"/>
        </w:tabs>
        <w:ind w:left="5414" w:hanging="360"/>
      </w:pPr>
      <w:rPr>
        <w:rFonts w:cs="Times New Roman"/>
      </w:rPr>
    </w:lvl>
    <w:lvl w:ilvl="7" w:tplc="08090019" w:tentative="1">
      <w:start w:val="1"/>
      <w:numFmt w:val="lowerLetter"/>
      <w:lvlText w:val="%8."/>
      <w:lvlJc w:val="left"/>
      <w:pPr>
        <w:tabs>
          <w:tab w:val="num" w:pos="6134"/>
        </w:tabs>
        <w:ind w:left="6134" w:hanging="360"/>
      </w:pPr>
      <w:rPr>
        <w:rFonts w:cs="Times New Roman"/>
      </w:rPr>
    </w:lvl>
    <w:lvl w:ilvl="8" w:tplc="0809001B" w:tentative="1">
      <w:start w:val="1"/>
      <w:numFmt w:val="lowerRoman"/>
      <w:lvlText w:val="%9."/>
      <w:lvlJc w:val="right"/>
      <w:pPr>
        <w:tabs>
          <w:tab w:val="num" w:pos="6854"/>
        </w:tabs>
        <w:ind w:left="6854" w:hanging="180"/>
      </w:pPr>
      <w:rPr>
        <w:rFonts w:cs="Times New Roman"/>
      </w:rPr>
    </w:lvl>
  </w:abstractNum>
  <w:num w:numId="1">
    <w:abstractNumId w:val="2"/>
  </w:num>
  <w:num w:numId="2">
    <w:abstractNumId w:val="4"/>
  </w:num>
  <w:num w:numId="3">
    <w:abstractNumId w:val="3"/>
  </w:num>
  <w:num w:numId="4">
    <w:abstractNumId w:val="1"/>
  </w:num>
  <w:num w:numId="5">
    <w:abstractNumId w:val="6"/>
  </w:num>
  <w:num w:numId="6">
    <w:abstractNumId w:val="0"/>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6814"/>
    <w:rsid w:val="000136A0"/>
    <w:rsid w:val="00020376"/>
    <w:rsid w:val="0002360F"/>
    <w:rsid w:val="0002498F"/>
    <w:rsid w:val="000249B2"/>
    <w:rsid w:val="00024A7D"/>
    <w:rsid w:val="00025339"/>
    <w:rsid w:val="00030AC2"/>
    <w:rsid w:val="00034D9B"/>
    <w:rsid w:val="000368A5"/>
    <w:rsid w:val="0004029A"/>
    <w:rsid w:val="000402D5"/>
    <w:rsid w:val="00045746"/>
    <w:rsid w:val="0006034E"/>
    <w:rsid w:val="00060ADA"/>
    <w:rsid w:val="00063783"/>
    <w:rsid w:val="00063DD7"/>
    <w:rsid w:val="00067E7B"/>
    <w:rsid w:val="00071FE4"/>
    <w:rsid w:val="00073765"/>
    <w:rsid w:val="00077A91"/>
    <w:rsid w:val="00087692"/>
    <w:rsid w:val="000929A6"/>
    <w:rsid w:val="00094411"/>
    <w:rsid w:val="000B10B4"/>
    <w:rsid w:val="000B5015"/>
    <w:rsid w:val="000B788F"/>
    <w:rsid w:val="000C0042"/>
    <w:rsid w:val="000C24C2"/>
    <w:rsid w:val="000C3961"/>
    <w:rsid w:val="000C700A"/>
    <w:rsid w:val="000D4E36"/>
    <w:rsid w:val="000D6842"/>
    <w:rsid w:val="000D7013"/>
    <w:rsid w:val="000E22D1"/>
    <w:rsid w:val="000E4526"/>
    <w:rsid w:val="000E458A"/>
    <w:rsid w:val="000E62FE"/>
    <w:rsid w:val="000E6CE2"/>
    <w:rsid w:val="000F18A9"/>
    <w:rsid w:val="000F25B7"/>
    <w:rsid w:val="000F3C7C"/>
    <w:rsid w:val="001009A2"/>
    <w:rsid w:val="00111943"/>
    <w:rsid w:val="001123CB"/>
    <w:rsid w:val="001161E4"/>
    <w:rsid w:val="00120257"/>
    <w:rsid w:val="00123BC2"/>
    <w:rsid w:val="00125318"/>
    <w:rsid w:val="00125A26"/>
    <w:rsid w:val="00130DEE"/>
    <w:rsid w:val="00142F80"/>
    <w:rsid w:val="001466DD"/>
    <w:rsid w:val="00150D2B"/>
    <w:rsid w:val="0015292F"/>
    <w:rsid w:val="0015376F"/>
    <w:rsid w:val="00155F89"/>
    <w:rsid w:val="001614E0"/>
    <w:rsid w:val="00162D56"/>
    <w:rsid w:val="00171BD8"/>
    <w:rsid w:val="0017653E"/>
    <w:rsid w:val="00176DA3"/>
    <w:rsid w:val="00182B01"/>
    <w:rsid w:val="001838F5"/>
    <w:rsid w:val="001840D2"/>
    <w:rsid w:val="00192816"/>
    <w:rsid w:val="001928C3"/>
    <w:rsid w:val="00193356"/>
    <w:rsid w:val="001966D7"/>
    <w:rsid w:val="001A3C89"/>
    <w:rsid w:val="001A5E85"/>
    <w:rsid w:val="001B55CD"/>
    <w:rsid w:val="001B5E14"/>
    <w:rsid w:val="001B6DDB"/>
    <w:rsid w:val="001C40CB"/>
    <w:rsid w:val="001C4B71"/>
    <w:rsid w:val="001C4D2E"/>
    <w:rsid w:val="001C5B10"/>
    <w:rsid w:val="001C7E35"/>
    <w:rsid w:val="001D16EE"/>
    <w:rsid w:val="001D1A3A"/>
    <w:rsid w:val="001D468B"/>
    <w:rsid w:val="001D549D"/>
    <w:rsid w:val="001E3C06"/>
    <w:rsid w:val="001F0037"/>
    <w:rsid w:val="001F0BE9"/>
    <w:rsid w:val="001F41B1"/>
    <w:rsid w:val="00202D79"/>
    <w:rsid w:val="0020369A"/>
    <w:rsid w:val="00204E13"/>
    <w:rsid w:val="00205D2F"/>
    <w:rsid w:val="00210A85"/>
    <w:rsid w:val="00215E8F"/>
    <w:rsid w:val="002204E4"/>
    <w:rsid w:val="002221E5"/>
    <w:rsid w:val="00226191"/>
    <w:rsid w:val="002322BB"/>
    <w:rsid w:val="00236480"/>
    <w:rsid w:val="00237994"/>
    <w:rsid w:val="002436E8"/>
    <w:rsid w:val="00251254"/>
    <w:rsid w:val="00251FEC"/>
    <w:rsid w:val="002548D1"/>
    <w:rsid w:val="00267DA5"/>
    <w:rsid w:val="002723EC"/>
    <w:rsid w:val="0027283B"/>
    <w:rsid w:val="0028019B"/>
    <w:rsid w:val="00283CAB"/>
    <w:rsid w:val="00285828"/>
    <w:rsid w:val="002874EF"/>
    <w:rsid w:val="00296D21"/>
    <w:rsid w:val="002A3FEF"/>
    <w:rsid w:val="002B4101"/>
    <w:rsid w:val="002B54A6"/>
    <w:rsid w:val="002B5623"/>
    <w:rsid w:val="002B573D"/>
    <w:rsid w:val="002B762C"/>
    <w:rsid w:val="002C206A"/>
    <w:rsid w:val="002D07CF"/>
    <w:rsid w:val="002D0E5E"/>
    <w:rsid w:val="002D35E6"/>
    <w:rsid w:val="002D628D"/>
    <w:rsid w:val="002D69C0"/>
    <w:rsid w:val="002D74DC"/>
    <w:rsid w:val="002E1033"/>
    <w:rsid w:val="002E36BF"/>
    <w:rsid w:val="002F1A9A"/>
    <w:rsid w:val="002F283D"/>
    <w:rsid w:val="002F3EE9"/>
    <w:rsid w:val="00302166"/>
    <w:rsid w:val="003034D9"/>
    <w:rsid w:val="00307F76"/>
    <w:rsid w:val="003137E5"/>
    <w:rsid w:val="00316719"/>
    <w:rsid w:val="00321FBB"/>
    <w:rsid w:val="0032589E"/>
    <w:rsid w:val="00331EBB"/>
    <w:rsid w:val="00333FAA"/>
    <w:rsid w:val="00334346"/>
    <w:rsid w:val="003355D7"/>
    <w:rsid w:val="00337A40"/>
    <w:rsid w:val="0034549D"/>
    <w:rsid w:val="003455FE"/>
    <w:rsid w:val="00351F2E"/>
    <w:rsid w:val="0036201C"/>
    <w:rsid w:val="00362951"/>
    <w:rsid w:val="00371BF6"/>
    <w:rsid w:val="00373801"/>
    <w:rsid w:val="00373B26"/>
    <w:rsid w:val="00376768"/>
    <w:rsid w:val="0038367E"/>
    <w:rsid w:val="003850A4"/>
    <w:rsid w:val="00386A2E"/>
    <w:rsid w:val="00391428"/>
    <w:rsid w:val="0039227F"/>
    <w:rsid w:val="00397EA9"/>
    <w:rsid w:val="003A2010"/>
    <w:rsid w:val="003A3CFF"/>
    <w:rsid w:val="003A49D3"/>
    <w:rsid w:val="003B3A0A"/>
    <w:rsid w:val="003C1277"/>
    <w:rsid w:val="003C25E3"/>
    <w:rsid w:val="003C2E75"/>
    <w:rsid w:val="003C7E97"/>
    <w:rsid w:val="003D09E6"/>
    <w:rsid w:val="003D6E04"/>
    <w:rsid w:val="003E5911"/>
    <w:rsid w:val="003F2653"/>
    <w:rsid w:val="003F3912"/>
    <w:rsid w:val="003F3AFD"/>
    <w:rsid w:val="003F5117"/>
    <w:rsid w:val="004013B0"/>
    <w:rsid w:val="00402A6B"/>
    <w:rsid w:val="00404FB2"/>
    <w:rsid w:val="004076C8"/>
    <w:rsid w:val="004207E3"/>
    <w:rsid w:val="00420A1B"/>
    <w:rsid w:val="00421A4C"/>
    <w:rsid w:val="00422560"/>
    <w:rsid w:val="004238C2"/>
    <w:rsid w:val="00425A1F"/>
    <w:rsid w:val="00426C5C"/>
    <w:rsid w:val="00435B5D"/>
    <w:rsid w:val="004363F7"/>
    <w:rsid w:val="00442A52"/>
    <w:rsid w:val="0044525C"/>
    <w:rsid w:val="00453A03"/>
    <w:rsid w:val="004553F1"/>
    <w:rsid w:val="00455DE5"/>
    <w:rsid w:val="004569A7"/>
    <w:rsid w:val="00460511"/>
    <w:rsid w:val="004613A9"/>
    <w:rsid w:val="00471C1F"/>
    <w:rsid w:val="00474EAE"/>
    <w:rsid w:val="00477349"/>
    <w:rsid w:val="004803DA"/>
    <w:rsid w:val="004809FA"/>
    <w:rsid w:val="00481511"/>
    <w:rsid w:val="004864C5"/>
    <w:rsid w:val="004929A4"/>
    <w:rsid w:val="004A4D78"/>
    <w:rsid w:val="004B1105"/>
    <w:rsid w:val="004B196F"/>
    <w:rsid w:val="004B2702"/>
    <w:rsid w:val="004B2ECF"/>
    <w:rsid w:val="004B6007"/>
    <w:rsid w:val="004B6A74"/>
    <w:rsid w:val="004C4A75"/>
    <w:rsid w:val="004C55B0"/>
    <w:rsid w:val="004C6436"/>
    <w:rsid w:val="004C6A26"/>
    <w:rsid w:val="004D2DA0"/>
    <w:rsid w:val="004D335E"/>
    <w:rsid w:val="004D3496"/>
    <w:rsid w:val="004E14A4"/>
    <w:rsid w:val="004E1BCB"/>
    <w:rsid w:val="004F090E"/>
    <w:rsid w:val="004F54BD"/>
    <w:rsid w:val="004F56C5"/>
    <w:rsid w:val="004F7E01"/>
    <w:rsid w:val="00502468"/>
    <w:rsid w:val="0050440D"/>
    <w:rsid w:val="00510C47"/>
    <w:rsid w:val="005162D6"/>
    <w:rsid w:val="00525C13"/>
    <w:rsid w:val="00526E01"/>
    <w:rsid w:val="00532615"/>
    <w:rsid w:val="00533B04"/>
    <w:rsid w:val="005354D0"/>
    <w:rsid w:val="0054172C"/>
    <w:rsid w:val="0054590F"/>
    <w:rsid w:val="005459EC"/>
    <w:rsid w:val="00546DDC"/>
    <w:rsid w:val="005470C7"/>
    <w:rsid w:val="005524F6"/>
    <w:rsid w:val="00552B04"/>
    <w:rsid w:val="00556E71"/>
    <w:rsid w:val="00557940"/>
    <w:rsid w:val="00564597"/>
    <w:rsid w:val="00567D58"/>
    <w:rsid w:val="005718B5"/>
    <w:rsid w:val="00572EB3"/>
    <w:rsid w:val="005808FB"/>
    <w:rsid w:val="00582605"/>
    <w:rsid w:val="00583BE6"/>
    <w:rsid w:val="00584FB6"/>
    <w:rsid w:val="0058674F"/>
    <w:rsid w:val="005872CF"/>
    <w:rsid w:val="00591016"/>
    <w:rsid w:val="005948C6"/>
    <w:rsid w:val="00596402"/>
    <w:rsid w:val="005A4E8B"/>
    <w:rsid w:val="005A674A"/>
    <w:rsid w:val="005B0269"/>
    <w:rsid w:val="005B0B76"/>
    <w:rsid w:val="005B2E72"/>
    <w:rsid w:val="005B3F67"/>
    <w:rsid w:val="005C08B8"/>
    <w:rsid w:val="005C2625"/>
    <w:rsid w:val="005D0934"/>
    <w:rsid w:val="005D11FA"/>
    <w:rsid w:val="005D548F"/>
    <w:rsid w:val="005D6C30"/>
    <w:rsid w:val="005D6EF5"/>
    <w:rsid w:val="005E09BF"/>
    <w:rsid w:val="005E3A10"/>
    <w:rsid w:val="005E41B5"/>
    <w:rsid w:val="005E6A2B"/>
    <w:rsid w:val="005E7509"/>
    <w:rsid w:val="005F066A"/>
    <w:rsid w:val="006049A5"/>
    <w:rsid w:val="006073A9"/>
    <w:rsid w:val="006145A2"/>
    <w:rsid w:val="00617C6C"/>
    <w:rsid w:val="00622ABD"/>
    <w:rsid w:val="0062728D"/>
    <w:rsid w:val="00633186"/>
    <w:rsid w:val="006351AE"/>
    <w:rsid w:val="006403D0"/>
    <w:rsid w:val="0064592C"/>
    <w:rsid w:val="006459AE"/>
    <w:rsid w:val="00645B8B"/>
    <w:rsid w:val="00647DB7"/>
    <w:rsid w:val="00655044"/>
    <w:rsid w:val="00662B47"/>
    <w:rsid w:val="00662F85"/>
    <w:rsid w:val="00666922"/>
    <w:rsid w:val="00670F17"/>
    <w:rsid w:val="006710C7"/>
    <w:rsid w:val="00675058"/>
    <w:rsid w:val="00677FD6"/>
    <w:rsid w:val="006825F4"/>
    <w:rsid w:val="00690CC7"/>
    <w:rsid w:val="00694CBB"/>
    <w:rsid w:val="0069602D"/>
    <w:rsid w:val="00696955"/>
    <w:rsid w:val="00696A83"/>
    <w:rsid w:val="006A51FB"/>
    <w:rsid w:val="006A6580"/>
    <w:rsid w:val="006A6EFA"/>
    <w:rsid w:val="006B22AC"/>
    <w:rsid w:val="006B2C84"/>
    <w:rsid w:val="006B7957"/>
    <w:rsid w:val="006C1EDF"/>
    <w:rsid w:val="006C580A"/>
    <w:rsid w:val="006D1E69"/>
    <w:rsid w:val="006D2053"/>
    <w:rsid w:val="006D6A5B"/>
    <w:rsid w:val="006E6FA1"/>
    <w:rsid w:val="006F057C"/>
    <w:rsid w:val="006F11FD"/>
    <w:rsid w:val="006F22DA"/>
    <w:rsid w:val="006F2EB3"/>
    <w:rsid w:val="006F3F05"/>
    <w:rsid w:val="007018B6"/>
    <w:rsid w:val="00702797"/>
    <w:rsid w:val="00703EE0"/>
    <w:rsid w:val="00704020"/>
    <w:rsid w:val="007069BA"/>
    <w:rsid w:val="007116B1"/>
    <w:rsid w:val="00714BEE"/>
    <w:rsid w:val="00716E9A"/>
    <w:rsid w:val="00721215"/>
    <w:rsid w:val="0073381C"/>
    <w:rsid w:val="00733939"/>
    <w:rsid w:val="007400CF"/>
    <w:rsid w:val="00743FFC"/>
    <w:rsid w:val="00744131"/>
    <w:rsid w:val="007471E0"/>
    <w:rsid w:val="00754212"/>
    <w:rsid w:val="0076289C"/>
    <w:rsid w:val="00763557"/>
    <w:rsid w:val="00764415"/>
    <w:rsid w:val="00765739"/>
    <w:rsid w:val="00772AAD"/>
    <w:rsid w:val="0078242D"/>
    <w:rsid w:val="007917B6"/>
    <w:rsid w:val="00791AE2"/>
    <w:rsid w:val="00791FB1"/>
    <w:rsid w:val="007A126D"/>
    <w:rsid w:val="007A1436"/>
    <w:rsid w:val="007A1CDD"/>
    <w:rsid w:val="007A25F8"/>
    <w:rsid w:val="007B23FC"/>
    <w:rsid w:val="007C114C"/>
    <w:rsid w:val="007D0C1D"/>
    <w:rsid w:val="007D12F4"/>
    <w:rsid w:val="007D2000"/>
    <w:rsid w:val="007D4DBF"/>
    <w:rsid w:val="007D4EC7"/>
    <w:rsid w:val="007E4732"/>
    <w:rsid w:val="007E4BA4"/>
    <w:rsid w:val="007F004E"/>
    <w:rsid w:val="007F16F0"/>
    <w:rsid w:val="007F335A"/>
    <w:rsid w:val="007F40FF"/>
    <w:rsid w:val="007F79E1"/>
    <w:rsid w:val="00800916"/>
    <w:rsid w:val="00803104"/>
    <w:rsid w:val="00804B89"/>
    <w:rsid w:val="00805E20"/>
    <w:rsid w:val="00806FC3"/>
    <w:rsid w:val="00812901"/>
    <w:rsid w:val="00820724"/>
    <w:rsid w:val="00822659"/>
    <w:rsid w:val="00824ADE"/>
    <w:rsid w:val="00826B9A"/>
    <w:rsid w:val="008320D1"/>
    <w:rsid w:val="00833239"/>
    <w:rsid w:val="00836477"/>
    <w:rsid w:val="00840AA5"/>
    <w:rsid w:val="0084152D"/>
    <w:rsid w:val="00844D2C"/>
    <w:rsid w:val="008476C6"/>
    <w:rsid w:val="008517DB"/>
    <w:rsid w:val="0085266D"/>
    <w:rsid w:val="00852C0C"/>
    <w:rsid w:val="0086250C"/>
    <w:rsid w:val="0086458E"/>
    <w:rsid w:val="00872BDB"/>
    <w:rsid w:val="008817C1"/>
    <w:rsid w:val="00882480"/>
    <w:rsid w:val="00882E4A"/>
    <w:rsid w:val="00890FE9"/>
    <w:rsid w:val="00892EF5"/>
    <w:rsid w:val="00894026"/>
    <w:rsid w:val="008959AC"/>
    <w:rsid w:val="008A09A2"/>
    <w:rsid w:val="008A5AA0"/>
    <w:rsid w:val="008A6242"/>
    <w:rsid w:val="008C7EBE"/>
    <w:rsid w:val="008D155C"/>
    <w:rsid w:val="008D6022"/>
    <w:rsid w:val="008E224D"/>
    <w:rsid w:val="008E2DCA"/>
    <w:rsid w:val="008E41FD"/>
    <w:rsid w:val="008F4E44"/>
    <w:rsid w:val="00901D31"/>
    <w:rsid w:val="0090351F"/>
    <w:rsid w:val="00912701"/>
    <w:rsid w:val="00913223"/>
    <w:rsid w:val="00913C26"/>
    <w:rsid w:val="00921CA4"/>
    <w:rsid w:val="00924FA3"/>
    <w:rsid w:val="0092530B"/>
    <w:rsid w:val="009328D4"/>
    <w:rsid w:val="0093331E"/>
    <w:rsid w:val="009333B5"/>
    <w:rsid w:val="0094208C"/>
    <w:rsid w:val="00942F17"/>
    <w:rsid w:val="00943B0B"/>
    <w:rsid w:val="00952CEF"/>
    <w:rsid w:val="00955421"/>
    <w:rsid w:val="00957339"/>
    <w:rsid w:val="00961802"/>
    <w:rsid w:val="00962E50"/>
    <w:rsid w:val="00964892"/>
    <w:rsid w:val="009653B8"/>
    <w:rsid w:val="00971349"/>
    <w:rsid w:val="00973548"/>
    <w:rsid w:val="00973815"/>
    <w:rsid w:val="009754EB"/>
    <w:rsid w:val="009757E7"/>
    <w:rsid w:val="0097600C"/>
    <w:rsid w:val="00980438"/>
    <w:rsid w:val="00981BF0"/>
    <w:rsid w:val="009822D2"/>
    <w:rsid w:val="00982A17"/>
    <w:rsid w:val="00990E9C"/>
    <w:rsid w:val="009922EA"/>
    <w:rsid w:val="00994542"/>
    <w:rsid w:val="00994908"/>
    <w:rsid w:val="009B0473"/>
    <w:rsid w:val="009B160B"/>
    <w:rsid w:val="009B3594"/>
    <w:rsid w:val="009C11A0"/>
    <w:rsid w:val="009C237B"/>
    <w:rsid w:val="009C3ED3"/>
    <w:rsid w:val="009C6B4B"/>
    <w:rsid w:val="009D1FD5"/>
    <w:rsid w:val="009D5C97"/>
    <w:rsid w:val="009E25F7"/>
    <w:rsid w:val="009E5A93"/>
    <w:rsid w:val="009F0E14"/>
    <w:rsid w:val="009F2A61"/>
    <w:rsid w:val="009F4221"/>
    <w:rsid w:val="00A07C5F"/>
    <w:rsid w:val="00A10B05"/>
    <w:rsid w:val="00A154AE"/>
    <w:rsid w:val="00A20113"/>
    <w:rsid w:val="00A20D78"/>
    <w:rsid w:val="00A2215F"/>
    <w:rsid w:val="00A22839"/>
    <w:rsid w:val="00A234D2"/>
    <w:rsid w:val="00A23E19"/>
    <w:rsid w:val="00A26204"/>
    <w:rsid w:val="00A33185"/>
    <w:rsid w:val="00A520B6"/>
    <w:rsid w:val="00A53B04"/>
    <w:rsid w:val="00A57FEB"/>
    <w:rsid w:val="00A6006B"/>
    <w:rsid w:val="00A6073B"/>
    <w:rsid w:val="00A61645"/>
    <w:rsid w:val="00A63D8E"/>
    <w:rsid w:val="00A64581"/>
    <w:rsid w:val="00A65636"/>
    <w:rsid w:val="00A661F4"/>
    <w:rsid w:val="00A7271A"/>
    <w:rsid w:val="00A75713"/>
    <w:rsid w:val="00A778CA"/>
    <w:rsid w:val="00A8172D"/>
    <w:rsid w:val="00A81E19"/>
    <w:rsid w:val="00A83F24"/>
    <w:rsid w:val="00AA65BF"/>
    <w:rsid w:val="00AB4F0E"/>
    <w:rsid w:val="00AB795F"/>
    <w:rsid w:val="00AC3632"/>
    <w:rsid w:val="00AC57D2"/>
    <w:rsid w:val="00AC609E"/>
    <w:rsid w:val="00AC6312"/>
    <w:rsid w:val="00AD1A5D"/>
    <w:rsid w:val="00AD525E"/>
    <w:rsid w:val="00AD6D80"/>
    <w:rsid w:val="00AD766E"/>
    <w:rsid w:val="00AE0CF0"/>
    <w:rsid w:val="00AE7238"/>
    <w:rsid w:val="00AE7622"/>
    <w:rsid w:val="00AF398A"/>
    <w:rsid w:val="00AF4484"/>
    <w:rsid w:val="00AF64F4"/>
    <w:rsid w:val="00AF7874"/>
    <w:rsid w:val="00B1160D"/>
    <w:rsid w:val="00B161DA"/>
    <w:rsid w:val="00B32E72"/>
    <w:rsid w:val="00B35C3C"/>
    <w:rsid w:val="00B40D7A"/>
    <w:rsid w:val="00B443FD"/>
    <w:rsid w:val="00B444E6"/>
    <w:rsid w:val="00B47A17"/>
    <w:rsid w:val="00B52011"/>
    <w:rsid w:val="00B53EFF"/>
    <w:rsid w:val="00B54AFA"/>
    <w:rsid w:val="00B663ED"/>
    <w:rsid w:val="00B671A4"/>
    <w:rsid w:val="00B679E6"/>
    <w:rsid w:val="00B75134"/>
    <w:rsid w:val="00B804E8"/>
    <w:rsid w:val="00B80634"/>
    <w:rsid w:val="00B810F9"/>
    <w:rsid w:val="00B911C7"/>
    <w:rsid w:val="00B91882"/>
    <w:rsid w:val="00B959BB"/>
    <w:rsid w:val="00BB2783"/>
    <w:rsid w:val="00BC206C"/>
    <w:rsid w:val="00BC36EE"/>
    <w:rsid w:val="00BC431A"/>
    <w:rsid w:val="00BD1254"/>
    <w:rsid w:val="00BD3A85"/>
    <w:rsid w:val="00BD7FA9"/>
    <w:rsid w:val="00BE2C2F"/>
    <w:rsid w:val="00C01A35"/>
    <w:rsid w:val="00C03772"/>
    <w:rsid w:val="00C03FB1"/>
    <w:rsid w:val="00C04318"/>
    <w:rsid w:val="00C04EDA"/>
    <w:rsid w:val="00C078E6"/>
    <w:rsid w:val="00C119A2"/>
    <w:rsid w:val="00C14293"/>
    <w:rsid w:val="00C212E1"/>
    <w:rsid w:val="00C24DA6"/>
    <w:rsid w:val="00C26D9C"/>
    <w:rsid w:val="00C27367"/>
    <w:rsid w:val="00C30433"/>
    <w:rsid w:val="00C32099"/>
    <w:rsid w:val="00C43576"/>
    <w:rsid w:val="00C45DD9"/>
    <w:rsid w:val="00C50D9C"/>
    <w:rsid w:val="00C54A34"/>
    <w:rsid w:val="00C54F80"/>
    <w:rsid w:val="00C57267"/>
    <w:rsid w:val="00C62B63"/>
    <w:rsid w:val="00C64BB2"/>
    <w:rsid w:val="00C66603"/>
    <w:rsid w:val="00C67A9D"/>
    <w:rsid w:val="00C707BE"/>
    <w:rsid w:val="00C71011"/>
    <w:rsid w:val="00C725C6"/>
    <w:rsid w:val="00C72B5B"/>
    <w:rsid w:val="00C762BB"/>
    <w:rsid w:val="00C80A80"/>
    <w:rsid w:val="00C841B9"/>
    <w:rsid w:val="00C852EF"/>
    <w:rsid w:val="00C85B1C"/>
    <w:rsid w:val="00C907C2"/>
    <w:rsid w:val="00C9097C"/>
    <w:rsid w:val="00CA519D"/>
    <w:rsid w:val="00CA61FE"/>
    <w:rsid w:val="00CA6B25"/>
    <w:rsid w:val="00CB08A0"/>
    <w:rsid w:val="00CB2CA6"/>
    <w:rsid w:val="00CB51D5"/>
    <w:rsid w:val="00CC01E7"/>
    <w:rsid w:val="00CC4E24"/>
    <w:rsid w:val="00CC6E0B"/>
    <w:rsid w:val="00CD4B1F"/>
    <w:rsid w:val="00CD7D5D"/>
    <w:rsid w:val="00CE0224"/>
    <w:rsid w:val="00CE0B52"/>
    <w:rsid w:val="00CE1875"/>
    <w:rsid w:val="00CE2841"/>
    <w:rsid w:val="00CE484E"/>
    <w:rsid w:val="00CF0FC4"/>
    <w:rsid w:val="00CF29B4"/>
    <w:rsid w:val="00CF6932"/>
    <w:rsid w:val="00CF7A59"/>
    <w:rsid w:val="00D01FE3"/>
    <w:rsid w:val="00D06CA3"/>
    <w:rsid w:val="00D076F3"/>
    <w:rsid w:val="00D07F46"/>
    <w:rsid w:val="00D121C5"/>
    <w:rsid w:val="00D170E5"/>
    <w:rsid w:val="00D24D3A"/>
    <w:rsid w:val="00D34CFB"/>
    <w:rsid w:val="00D374EF"/>
    <w:rsid w:val="00D37F2F"/>
    <w:rsid w:val="00D4033A"/>
    <w:rsid w:val="00D4033D"/>
    <w:rsid w:val="00D415B9"/>
    <w:rsid w:val="00D4384A"/>
    <w:rsid w:val="00D448B5"/>
    <w:rsid w:val="00D44D61"/>
    <w:rsid w:val="00D520E7"/>
    <w:rsid w:val="00D528E8"/>
    <w:rsid w:val="00D53DE1"/>
    <w:rsid w:val="00D5702B"/>
    <w:rsid w:val="00D57A7C"/>
    <w:rsid w:val="00D61E8A"/>
    <w:rsid w:val="00D62160"/>
    <w:rsid w:val="00D630A2"/>
    <w:rsid w:val="00D64081"/>
    <w:rsid w:val="00D67DC5"/>
    <w:rsid w:val="00D71065"/>
    <w:rsid w:val="00D71EC4"/>
    <w:rsid w:val="00D77106"/>
    <w:rsid w:val="00D771D0"/>
    <w:rsid w:val="00D835CF"/>
    <w:rsid w:val="00D85269"/>
    <w:rsid w:val="00D85939"/>
    <w:rsid w:val="00DA26FB"/>
    <w:rsid w:val="00DA4453"/>
    <w:rsid w:val="00DB0972"/>
    <w:rsid w:val="00DB3EEB"/>
    <w:rsid w:val="00DB494A"/>
    <w:rsid w:val="00DB5901"/>
    <w:rsid w:val="00DB6C3D"/>
    <w:rsid w:val="00DC506F"/>
    <w:rsid w:val="00DC5ACF"/>
    <w:rsid w:val="00DC7FD5"/>
    <w:rsid w:val="00DD2749"/>
    <w:rsid w:val="00DD3A5A"/>
    <w:rsid w:val="00DD7468"/>
    <w:rsid w:val="00DE12C9"/>
    <w:rsid w:val="00DE25E9"/>
    <w:rsid w:val="00DE48D2"/>
    <w:rsid w:val="00DE71D3"/>
    <w:rsid w:val="00DE72CF"/>
    <w:rsid w:val="00DF08A0"/>
    <w:rsid w:val="00E01F46"/>
    <w:rsid w:val="00E04A31"/>
    <w:rsid w:val="00E06F07"/>
    <w:rsid w:val="00E13DA6"/>
    <w:rsid w:val="00E168C8"/>
    <w:rsid w:val="00E16B59"/>
    <w:rsid w:val="00E20DA5"/>
    <w:rsid w:val="00E339F6"/>
    <w:rsid w:val="00E33BD4"/>
    <w:rsid w:val="00E33EDD"/>
    <w:rsid w:val="00E37A5C"/>
    <w:rsid w:val="00E4021C"/>
    <w:rsid w:val="00E46B26"/>
    <w:rsid w:val="00E5259C"/>
    <w:rsid w:val="00E638DD"/>
    <w:rsid w:val="00E6535E"/>
    <w:rsid w:val="00E65EFA"/>
    <w:rsid w:val="00E67B18"/>
    <w:rsid w:val="00E70760"/>
    <w:rsid w:val="00E72F48"/>
    <w:rsid w:val="00E76F62"/>
    <w:rsid w:val="00E8081E"/>
    <w:rsid w:val="00E915C6"/>
    <w:rsid w:val="00E9253C"/>
    <w:rsid w:val="00E92E65"/>
    <w:rsid w:val="00E9784D"/>
    <w:rsid w:val="00EA385A"/>
    <w:rsid w:val="00EA76DD"/>
    <w:rsid w:val="00EB2CE0"/>
    <w:rsid w:val="00EB45B5"/>
    <w:rsid w:val="00EB5E57"/>
    <w:rsid w:val="00EB61DB"/>
    <w:rsid w:val="00EC23F7"/>
    <w:rsid w:val="00EC33DB"/>
    <w:rsid w:val="00EC6771"/>
    <w:rsid w:val="00EC7B4E"/>
    <w:rsid w:val="00ED0F44"/>
    <w:rsid w:val="00ED4AFD"/>
    <w:rsid w:val="00ED5A43"/>
    <w:rsid w:val="00ED5BFA"/>
    <w:rsid w:val="00ED6982"/>
    <w:rsid w:val="00EE447F"/>
    <w:rsid w:val="00EE4FBE"/>
    <w:rsid w:val="00EF6D32"/>
    <w:rsid w:val="00F039F3"/>
    <w:rsid w:val="00F10783"/>
    <w:rsid w:val="00F117ED"/>
    <w:rsid w:val="00F132AE"/>
    <w:rsid w:val="00F20291"/>
    <w:rsid w:val="00F3189F"/>
    <w:rsid w:val="00F35F2C"/>
    <w:rsid w:val="00F426FE"/>
    <w:rsid w:val="00F51658"/>
    <w:rsid w:val="00F5649A"/>
    <w:rsid w:val="00F601CB"/>
    <w:rsid w:val="00F64ACD"/>
    <w:rsid w:val="00F67DC5"/>
    <w:rsid w:val="00F7588E"/>
    <w:rsid w:val="00F82342"/>
    <w:rsid w:val="00F85453"/>
    <w:rsid w:val="00F87369"/>
    <w:rsid w:val="00F877DB"/>
    <w:rsid w:val="00F91AE4"/>
    <w:rsid w:val="00F9374E"/>
    <w:rsid w:val="00F93C8B"/>
    <w:rsid w:val="00F959DD"/>
    <w:rsid w:val="00F960D5"/>
    <w:rsid w:val="00FA1CBD"/>
    <w:rsid w:val="00FA247E"/>
    <w:rsid w:val="00FB1231"/>
    <w:rsid w:val="00FC1C5C"/>
    <w:rsid w:val="00FC76EA"/>
    <w:rsid w:val="00FD14DB"/>
    <w:rsid w:val="00FD3DE5"/>
    <w:rsid w:val="00FD4D5F"/>
    <w:rsid w:val="00FD647E"/>
    <w:rsid w:val="00FE1414"/>
    <w:rsid w:val="00FE17E2"/>
    <w:rsid w:val="00FE405E"/>
    <w:rsid w:val="00FE4470"/>
    <w:rsid w:val="00FF0A92"/>
    <w:rsid w:val="00FF17E3"/>
    <w:rsid w:val="00FF4EB5"/>
    <w:rsid w:val="00FF5742"/>
    <w:rsid w:val="00FF6548"/>
    <w:rsid w:val="00FF68A6"/>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4C858C"/>
  <w15:docId w15:val="{7FF133F5-A8A6-4987-8810-11288F61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uiPriority w:val="9"/>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character" w:customStyle="1" w:styleId="Heading2Char">
    <w:name w:val="Heading 2 Char"/>
    <w:link w:val="Heading2"/>
    <w:uiPriority w:val="9"/>
    <w:locked/>
    <w:rsid w:val="00DC7FD5"/>
    <w:rPr>
      <w:rFonts w:ascii="Arial" w:hAnsi="Arial" w:cs="Arial"/>
      <w:b/>
      <w:bCs/>
      <w:sz w:val="28"/>
      <w:szCs w:val="32"/>
      <w:lang w:eastAsia="en-US"/>
    </w:rPr>
  </w:style>
  <w:style w:type="character" w:styleId="UnresolvedMention">
    <w:name w:val="Unresolved Mention"/>
    <w:basedOn w:val="DefaultParagraphFont"/>
    <w:uiPriority w:val="99"/>
    <w:semiHidden/>
    <w:unhideWhenUsed/>
    <w:rsid w:val="003C25E3"/>
    <w:rPr>
      <w:color w:val="605E5C"/>
      <w:shd w:val="clear" w:color="auto" w:fill="E1DFDD"/>
    </w:rPr>
  </w:style>
  <w:style w:type="paragraph" w:styleId="BalloonText">
    <w:name w:val="Balloon Text"/>
    <w:basedOn w:val="Normal"/>
    <w:link w:val="BalloonTextChar"/>
    <w:rsid w:val="00F9374E"/>
    <w:rPr>
      <w:rFonts w:ascii="Segoe UI" w:hAnsi="Segoe UI" w:cs="Segoe UI"/>
      <w:sz w:val="18"/>
      <w:szCs w:val="18"/>
    </w:rPr>
  </w:style>
  <w:style w:type="character" w:customStyle="1" w:styleId="BalloonTextChar">
    <w:name w:val="Balloon Text Char"/>
    <w:basedOn w:val="DefaultParagraphFont"/>
    <w:link w:val="BalloonText"/>
    <w:rsid w:val="00F9374E"/>
    <w:rPr>
      <w:rFonts w:ascii="Segoe UI" w:hAnsi="Segoe UI" w:cs="Segoe UI"/>
      <w:sz w:val="18"/>
      <w:szCs w:val="18"/>
      <w:lang w:eastAsia="en-US"/>
    </w:rPr>
  </w:style>
  <w:style w:type="character" w:styleId="CommentReference">
    <w:name w:val="annotation reference"/>
    <w:basedOn w:val="DefaultParagraphFont"/>
    <w:semiHidden/>
    <w:unhideWhenUsed/>
    <w:rsid w:val="00EF6D32"/>
    <w:rPr>
      <w:sz w:val="16"/>
      <w:szCs w:val="16"/>
    </w:rPr>
  </w:style>
  <w:style w:type="paragraph" w:styleId="CommentText">
    <w:name w:val="annotation text"/>
    <w:basedOn w:val="Normal"/>
    <w:link w:val="CommentTextChar"/>
    <w:semiHidden/>
    <w:unhideWhenUsed/>
    <w:rsid w:val="00EF6D32"/>
    <w:rPr>
      <w:sz w:val="20"/>
    </w:rPr>
  </w:style>
  <w:style w:type="character" w:customStyle="1" w:styleId="CommentTextChar">
    <w:name w:val="Comment Text Char"/>
    <w:basedOn w:val="DefaultParagraphFont"/>
    <w:link w:val="CommentText"/>
    <w:semiHidden/>
    <w:rsid w:val="00EF6D32"/>
    <w:rPr>
      <w:rFonts w:ascii="Arial" w:hAnsi="Arial"/>
      <w:lang w:eastAsia="en-US"/>
    </w:rPr>
  </w:style>
  <w:style w:type="paragraph" w:styleId="CommentSubject">
    <w:name w:val="annotation subject"/>
    <w:basedOn w:val="CommentText"/>
    <w:next w:val="CommentText"/>
    <w:link w:val="CommentSubjectChar"/>
    <w:semiHidden/>
    <w:unhideWhenUsed/>
    <w:rsid w:val="00EF6D32"/>
    <w:rPr>
      <w:b/>
      <w:bCs/>
    </w:rPr>
  </w:style>
  <w:style w:type="character" w:customStyle="1" w:styleId="CommentSubjectChar">
    <w:name w:val="Comment Subject Char"/>
    <w:basedOn w:val="CommentTextChar"/>
    <w:link w:val="CommentSubject"/>
    <w:semiHidden/>
    <w:rsid w:val="00EF6D32"/>
    <w:rPr>
      <w:rFonts w:ascii="Arial" w:hAnsi="Arial"/>
      <w:b/>
      <w:bCs/>
      <w:lang w:eastAsia="en-US"/>
    </w:rPr>
  </w:style>
  <w:style w:type="paragraph" w:styleId="Revision">
    <w:name w:val="Revision"/>
    <w:hidden/>
    <w:uiPriority w:val="99"/>
    <w:semiHidden/>
    <w:rsid w:val="00EF6D32"/>
    <w:rPr>
      <w:rFonts w:ascii="Arial" w:hAnsi="Arial"/>
      <w:sz w:val="24"/>
      <w:lang w:eastAsia="en-US"/>
    </w:rPr>
  </w:style>
  <w:style w:type="table" w:customStyle="1" w:styleId="Style1">
    <w:name w:val="Style1"/>
    <w:basedOn w:val="TableNormal"/>
    <w:uiPriority w:val="99"/>
    <w:rsid w:val="004B6007"/>
    <w:rPr>
      <w:rFonts w:ascii="Arial" w:hAnsi="Arial"/>
      <w:sz w:val="24"/>
    </w:rPr>
    <w:tblPr/>
    <w:tcPr>
      <w:shd w:val="clear" w:color="auto" w:fill="FFFFFF" w:themeFill="background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11659">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440998324">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978802807">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90934568">
      <w:bodyDiv w:val="1"/>
      <w:marLeft w:val="0"/>
      <w:marRight w:val="0"/>
      <w:marTop w:val="0"/>
      <w:marBottom w:val="0"/>
      <w:divBdr>
        <w:top w:val="none" w:sz="0" w:space="0" w:color="auto"/>
        <w:left w:val="none" w:sz="0" w:space="0" w:color="auto"/>
        <w:bottom w:val="none" w:sz="0" w:space="0" w:color="auto"/>
        <w:right w:val="none" w:sz="0" w:space="0" w:color="auto"/>
      </w:divBdr>
    </w:div>
    <w:div w:id="210726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ern.silverio@harrow.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egislation.gov.uk/ukdsi/2013/9780111532959/content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gov.uk/ukpga/1992/14/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564FE5FD3B204E8A328AD7D74364FB" ma:contentTypeVersion="12" ma:contentTypeDescription="Create a new document." ma:contentTypeScope="" ma:versionID="56169e6dcdfff149b5ea792ceec2f32c">
  <xsd:schema xmlns:xsd="http://www.w3.org/2001/XMLSchema" xmlns:xs="http://www.w3.org/2001/XMLSchema" xmlns:p="http://schemas.microsoft.com/office/2006/metadata/properties" xmlns:ns3="14b7ac5a-5e08-4653-98ef-300f826932b9" xmlns:ns4="ddf5cf2c-9367-45a8-84c5-0d28beb5ea4d" targetNamespace="http://schemas.microsoft.com/office/2006/metadata/properties" ma:root="true" ma:fieldsID="a642ffdeedcf36c94a4700174020ea94" ns3:_="" ns4:_="">
    <xsd:import namespace="14b7ac5a-5e08-4653-98ef-300f826932b9"/>
    <xsd:import namespace="ddf5cf2c-9367-45a8-84c5-0d28beb5ea4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7ac5a-5e08-4653-98ef-300f826932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f5cf2c-9367-45a8-84c5-0d28beb5ea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AF1D7D55-3593-495E-9698-89D4AC137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7ac5a-5e08-4653-98ef-300f826932b9"/>
    <ds:schemaRef ds:uri="ddf5cf2c-9367-45a8-84c5-0d28beb5e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5.xml><?xml version="1.0" encoding="utf-8"?>
<ds:datastoreItem xmlns:ds="http://schemas.openxmlformats.org/officeDocument/2006/customXml" ds:itemID="{8BAA78D9-91A1-4E75-B6BB-BA65DA813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2613</Words>
  <Characters>14106</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16686</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Alison Atherton</cp:lastModifiedBy>
  <cp:revision>2</cp:revision>
  <cp:lastPrinted>2021-11-25T18:35:00Z</cp:lastPrinted>
  <dcterms:created xsi:type="dcterms:W3CDTF">2021-11-30T09:50:00Z</dcterms:created>
  <dcterms:modified xsi:type="dcterms:W3CDTF">2021-11-30T09:50:00Z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0x010100A1564FE5FD3B204E8A328AD7D74364FB</vt:lpwstr>
  </property>
  <property fmtid="{D5CDD505-2E9C-101B-9397-08002B2CF9AE}" pid="3" name="TaxKeyword">
    <vt:lpwstr>108;#Cabinet Report Template|b79b58f4-03f4-47dd-bec7-7bae4bc4af23</vt:lpwstr>
  </property>
</Properties>
</file>